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60" w:type="dxa"/>
        <w:tblLook w:val="04A0" w:firstRow="1" w:lastRow="0" w:firstColumn="1" w:lastColumn="0" w:noHBand="0" w:noVBand="1"/>
      </w:tblPr>
      <w:tblGrid>
        <w:gridCol w:w="3040"/>
        <w:gridCol w:w="2240"/>
        <w:gridCol w:w="2040"/>
        <w:gridCol w:w="1600"/>
        <w:gridCol w:w="1600"/>
        <w:gridCol w:w="1200"/>
        <w:gridCol w:w="1200"/>
        <w:gridCol w:w="1340"/>
      </w:tblGrid>
      <w:tr w:rsidR="00E86997" w:rsidRPr="00E86997" w14:paraId="7255E2C7" w14:textId="77777777" w:rsidTr="00E86997">
        <w:trPr>
          <w:trHeight w:val="64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B4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Site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4D3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Room Type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04D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Number of Beds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2EA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Tenancy start date*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9D6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Tenancy end date*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F0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Contract Length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0E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Weekly Cost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8EC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Annual Cost</w:t>
            </w:r>
          </w:p>
        </w:tc>
      </w:tr>
      <w:tr w:rsidR="00E86997" w:rsidRPr="00E86997" w14:paraId="0AE9A468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E9CEBF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The Grange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AD694E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AD88BC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63855E" w14:textId="21BA9783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001E4C" w14:textId="6496604D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971775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6BD924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761AA9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86997" w:rsidRPr="00E86997" w14:paraId="7B857852" w14:textId="77777777" w:rsidTr="00E86997">
        <w:trPr>
          <w:trHeight w:val="6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4E98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Town Houses (Cruse, Boyle, Lang, Muir, Robinson, Welch)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971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D5C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7F2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781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6C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D55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8CA5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£5,808.00</w:t>
            </w:r>
          </w:p>
        </w:tc>
      </w:tr>
      <w:tr w:rsidR="00E86997" w:rsidRPr="00E86997" w14:paraId="62BE8F0C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E9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Baldwin House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2071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619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F10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C9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06/06/2027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E44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7BE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765D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£4,884.00</w:t>
            </w:r>
          </w:p>
        </w:tc>
      </w:tr>
      <w:tr w:rsidR="00E86997" w:rsidRPr="00E86997" w14:paraId="32FF31DE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A13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 Mary's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D5D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BF3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974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EAD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343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BEC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C25C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£6,556.00</w:t>
            </w:r>
          </w:p>
        </w:tc>
      </w:tr>
      <w:tr w:rsidR="00E86997" w:rsidRPr="00E86997" w14:paraId="0B9300A6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E17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 Mary's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BD69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Large Room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4DA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98E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7AD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9A9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9AE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2486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£6,996.00</w:t>
            </w:r>
          </w:p>
        </w:tc>
      </w:tr>
      <w:tr w:rsidR="00E86997" w:rsidRPr="00E86997" w14:paraId="3A658FBC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9D3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Grange House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6109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5B2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D80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6D7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36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A3D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211F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£6,556.00</w:t>
            </w:r>
          </w:p>
        </w:tc>
      </w:tr>
      <w:tr w:rsidR="00E86997" w:rsidRPr="00E86997" w14:paraId="5AA74E16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13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Grange House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8EA5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0D3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809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6A9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EF4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5B6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FB5A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£6,996.00</w:t>
            </w:r>
          </w:p>
        </w:tc>
      </w:tr>
      <w:tr w:rsidR="00E86997" w:rsidRPr="00E86997" w14:paraId="3AD62F1A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8A2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Grange House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8A5A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818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1E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F87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F66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7D7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8EE7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£7,568.00</w:t>
            </w:r>
          </w:p>
        </w:tc>
      </w:tr>
      <w:tr w:rsidR="00E86997" w:rsidRPr="00E86997" w14:paraId="4D437FBE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C39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Grange House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A58A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7A9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F74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76F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04E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C34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4F35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£7,920.00</w:t>
            </w:r>
          </w:p>
        </w:tc>
      </w:tr>
      <w:tr w:rsidR="00E86997" w:rsidRPr="00E86997" w14:paraId="532322BE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1886D8C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Limes Court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F5F50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585687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FC6A68" w14:textId="0E533AEF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B1129" w14:textId="77F94FA6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E5BFD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BC9C2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37F0F1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86997" w:rsidRPr="00E86997" w14:paraId="76BC6B07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C10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A92B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B3F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8A7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86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977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636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42D9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£5,808.00</w:t>
            </w:r>
          </w:p>
        </w:tc>
      </w:tr>
      <w:tr w:rsidR="00E86997" w:rsidRPr="00E86997" w14:paraId="358A1E0F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D07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7F36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F88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E6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B48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2E4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489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537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£6,248.00</w:t>
            </w:r>
          </w:p>
        </w:tc>
      </w:tr>
      <w:tr w:rsidR="00E86997" w:rsidRPr="00E86997" w14:paraId="65136A84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B001B0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Garden Street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3D876B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80DC7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970E88" w14:textId="2A089B19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156BEC" w14:textId="32717FCD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DA0CF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30E7A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32DB4A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86997" w:rsidRPr="00E86997" w14:paraId="74A3F7C3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327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5B13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8D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EE4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18C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659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55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3DFD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£7,568.00</w:t>
            </w:r>
          </w:p>
        </w:tc>
      </w:tr>
      <w:tr w:rsidR="00E86997" w:rsidRPr="00E86997" w14:paraId="13B4E18B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06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FDA1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C90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C9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DE3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551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7EC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D5FC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£7,920.00</w:t>
            </w:r>
          </w:p>
        </w:tc>
      </w:tr>
      <w:tr w:rsidR="00E86997" w:rsidRPr="00E86997" w14:paraId="27BD7EB9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3D3F6E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City Residence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1B71FB3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47ED7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76DED75" w14:textId="2732D15F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F3B8BD4" w14:textId="4740B5E9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A70143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8C35CE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9D050ED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86997" w:rsidRPr="00E86997" w14:paraId="0C866D5C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44E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Band 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5D3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0EB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124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73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E74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0D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7B13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£7,304.00</w:t>
            </w:r>
          </w:p>
        </w:tc>
      </w:tr>
      <w:tr w:rsidR="00E86997" w:rsidRPr="00E86997" w14:paraId="1B83AC24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13A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Band 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AE1B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23B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F30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7C6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4BB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871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AF94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£7,656.00</w:t>
            </w:r>
          </w:p>
        </w:tc>
      </w:tr>
      <w:tr w:rsidR="00E86997" w:rsidRPr="00E86997" w14:paraId="3C5BA78E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9FC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Band 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09DC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11F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10C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9F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F86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814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8185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£7,568.00</w:t>
            </w:r>
          </w:p>
        </w:tc>
      </w:tr>
      <w:tr w:rsidR="00E86997" w:rsidRPr="00E86997" w14:paraId="6CD884AE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BD1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Band 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FDC8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BBE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282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980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25/07/2027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AE1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AF3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279E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£7,920.00</w:t>
            </w:r>
          </w:p>
        </w:tc>
      </w:tr>
      <w:tr w:rsidR="00E86997" w:rsidRPr="00E86997" w14:paraId="4380B726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966EE76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49 Clarence Street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CD70A66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B6A34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9A1B0EE" w14:textId="6396E155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0D7CC3" w14:textId="188F8EB4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F78510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C9740D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75EFE4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86997" w:rsidRPr="00E86997" w14:paraId="77AE5C36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4E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Ground Floor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C97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11F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102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4F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24C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E4B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AE9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£7,470.00</w:t>
            </w:r>
          </w:p>
        </w:tc>
      </w:tr>
      <w:tr w:rsidR="00E86997" w:rsidRPr="00E86997" w14:paraId="15E353F8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F4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Ground Floor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4478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A0A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50E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A22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C1A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F7B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B9C3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£7,830.00</w:t>
            </w:r>
          </w:p>
        </w:tc>
      </w:tr>
      <w:tr w:rsidR="00E86997" w:rsidRPr="00E86997" w14:paraId="76CD96C4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1AB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Commuting Rooms (First Floor)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006E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5D2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1E78" w14:textId="2E4F6015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CD1D" w14:textId="566247D0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C47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483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68C9F" w14:textId="08A62522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86997" w:rsidRPr="00E86997" w14:paraId="70987BCB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DBE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Commuting Rooms (First Floor)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331D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59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F478" w14:textId="3625D62E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656E" w14:textId="1369C7CA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EB8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673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1ACA0" w14:textId="68EB30C3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662C8990" w14:textId="77777777" w:rsidR="00E86997" w:rsidRDefault="00E86997" w:rsidP="00E8699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en-GB"/>
        </w:rPr>
        <w:sectPr w:rsidR="00E86997" w:rsidSect="00E8699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260" w:type="dxa"/>
        <w:tblLook w:val="04A0" w:firstRow="1" w:lastRow="0" w:firstColumn="1" w:lastColumn="0" w:noHBand="0" w:noVBand="1"/>
      </w:tblPr>
      <w:tblGrid>
        <w:gridCol w:w="3040"/>
        <w:gridCol w:w="2240"/>
        <w:gridCol w:w="2040"/>
        <w:gridCol w:w="1600"/>
        <w:gridCol w:w="1600"/>
        <w:gridCol w:w="1200"/>
        <w:gridCol w:w="1200"/>
        <w:gridCol w:w="1340"/>
      </w:tblGrid>
      <w:tr w:rsidR="00E86997" w:rsidRPr="00E86997" w14:paraId="2A71615D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4D21CC0" w14:textId="24081C25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79 Clarence Street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2BA5AAEC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D9AE9E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0B0C891B" w14:textId="5C223FF6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F49524" w14:textId="526F7A1E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40A791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0D460A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1E8D3685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86997" w:rsidRPr="00E86997" w14:paraId="236E0608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E67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147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6D6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5BD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2E0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8F4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23E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CF4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£8,550.00</w:t>
            </w:r>
          </w:p>
        </w:tc>
      </w:tr>
      <w:tr w:rsidR="00E86997" w:rsidRPr="00E86997" w14:paraId="7E12BBE1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2F2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F71C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92C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9E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B76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195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9CF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3CFF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£9,000.00</w:t>
            </w:r>
          </w:p>
        </w:tc>
      </w:tr>
      <w:tr w:rsidR="00E86997" w:rsidRPr="00E86997" w14:paraId="4B93661B" w14:textId="77777777" w:rsidTr="00E86997">
        <w:trPr>
          <w:trHeight w:val="33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9E4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C4D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Studio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71A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8A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9D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045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56C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£230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A367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£10,350.00</w:t>
            </w:r>
          </w:p>
        </w:tc>
      </w:tr>
      <w:tr w:rsidR="00E86997" w:rsidRPr="00E86997" w14:paraId="3047B343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70C102C8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 John Central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37949EDB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5B9EF61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7C54F6CC" w14:textId="28FCA752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628CF3C2" w14:textId="19ACC09F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547038D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7042328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66FF"/>
            <w:noWrap/>
            <w:vAlign w:val="bottom"/>
            <w:hideMark/>
          </w:tcPr>
          <w:p w14:paraId="36994062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86997" w:rsidRPr="00E86997" w14:paraId="503D5C34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EC0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B3F6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B6C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35B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125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04/07/2027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569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A16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1855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£7,380.00</w:t>
            </w:r>
          </w:p>
        </w:tc>
      </w:tr>
      <w:tr w:rsidR="00E86997" w:rsidRPr="00E86997" w14:paraId="5D3ECA2B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33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A7A9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Large 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9B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095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008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04/07/2027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540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00A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9C0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£7,790.00</w:t>
            </w:r>
          </w:p>
        </w:tc>
      </w:tr>
      <w:tr w:rsidR="00E86997" w:rsidRPr="00E86997" w14:paraId="2191D3BB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B14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F2F2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Studio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F4F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C93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4DD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04/07/2027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87A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E06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£229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18F2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£9,389.00</w:t>
            </w:r>
          </w:p>
        </w:tc>
      </w:tr>
      <w:tr w:rsidR="00E86997" w:rsidRPr="00E86997" w14:paraId="18AA7E4C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2748246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University Managed Houses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7AB6B35C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E0BBB0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3313811E" w14:textId="7FABBE4A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E4D39DD" w14:textId="13664092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3B17E3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0B44074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14:paraId="4BD72B71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6997" w:rsidRPr="00E86997" w14:paraId="6E892105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E0D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Band A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2033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0FA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672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B81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DBB1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071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070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£8,235.00</w:t>
            </w:r>
          </w:p>
        </w:tc>
      </w:tr>
      <w:tr w:rsidR="00E86997" w:rsidRPr="00E86997" w14:paraId="4C59E4E6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B21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Band B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8D72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Standard room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22A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80FC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1F1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4DA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A2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£193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3B11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£8,685.00</w:t>
            </w:r>
          </w:p>
        </w:tc>
      </w:tr>
      <w:tr w:rsidR="00E86997" w:rsidRPr="00E86997" w14:paraId="340B0C7E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30C9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Band C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51B4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98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7D7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20/09/2026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93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01/08/2027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C30D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90A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£203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3D93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£9,135.00</w:t>
            </w:r>
          </w:p>
        </w:tc>
      </w:tr>
      <w:tr w:rsidR="00E86997" w:rsidRPr="00E86997" w14:paraId="46831B36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26EAFA51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Partner Provider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1F91C647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367044E5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0C0FDA63" w14:textId="7AB0245A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5739CF98" w14:textId="54C7EC5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5FDDECEF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5FD76A2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EDD9"/>
            <w:noWrap/>
            <w:vAlign w:val="bottom"/>
            <w:hideMark/>
          </w:tcPr>
          <w:p w14:paraId="66117359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86997" w:rsidRPr="00E86997" w14:paraId="0DFEA60A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C67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Brickworks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FD4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20F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396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761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12/09/2026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CEBE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17/07/2027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F5E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FE6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85BE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£9,020.00</w:t>
            </w:r>
          </w:p>
        </w:tc>
      </w:tr>
      <w:tr w:rsidR="00E86997" w:rsidRPr="00E86997" w14:paraId="600E39D4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833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Coal Yard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5D39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2CF2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269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12/09/2026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5CAB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17/07/2027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FDB7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170A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£205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D85D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£9,020.00</w:t>
            </w:r>
          </w:p>
        </w:tc>
      </w:tr>
      <w:tr w:rsidR="00E86997" w:rsidRPr="00E86997" w14:paraId="24A04E5C" w14:textId="77777777" w:rsidTr="00E86997">
        <w:trPr>
          <w:trHeight w:val="300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7640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Abode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EDF" w14:textId="77777777" w:rsidR="00E86997" w:rsidRPr="00E86997" w:rsidRDefault="00E86997" w:rsidP="00E86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Ensuite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EEA4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167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C3F3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05/09/2026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07DD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07/08/2027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60CF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AF88" w14:textId="77777777" w:rsidR="00E86997" w:rsidRPr="00E86997" w:rsidRDefault="00E86997" w:rsidP="00E86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£208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AF14" w14:textId="77777777" w:rsidR="00E86997" w:rsidRPr="00E86997" w:rsidRDefault="00E86997" w:rsidP="00E869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86997">
              <w:rPr>
                <w:rFonts w:ascii="Calibri" w:eastAsia="Times New Roman" w:hAnsi="Calibri" w:cs="Calibri"/>
                <w:color w:val="000000"/>
                <w:lang w:eastAsia="en-GB"/>
              </w:rPr>
              <w:t>£9,984.00</w:t>
            </w:r>
          </w:p>
        </w:tc>
      </w:tr>
    </w:tbl>
    <w:p w14:paraId="338C267B" w14:textId="77777777" w:rsidR="00E86997" w:rsidRDefault="00E86997" w:rsidP="00E86997">
      <w:pPr>
        <w:spacing w:after="0"/>
        <w:sectPr w:rsidR="00E86997" w:rsidSect="00E86997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43D703F" w14:textId="77777777" w:rsidR="00E86997" w:rsidRDefault="00E86997" w:rsidP="00E86997">
      <w:pPr>
        <w:spacing w:after="0"/>
        <w:sectPr w:rsidR="00E86997" w:rsidSect="00E86997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EFF1F74" w14:textId="3522BD36" w:rsidR="009862C2" w:rsidRDefault="00E86997" w:rsidP="00E86997">
      <w:pPr>
        <w:spacing w:after="0"/>
      </w:pPr>
      <w:r>
        <w:t>*Tenancy start and end dates are based on typical first year undergraduate timeframes. Students on the Study Abroad program and Returning Students (second/third years) may have amended tenancy dates</w:t>
      </w:r>
      <w:r w:rsidR="005C1C61">
        <w:t xml:space="preserve"> to the ones listed above</w:t>
      </w:r>
      <w:r>
        <w:t>. Please be aware end of tenancy dates are subject to change. Students would be contacted in advance about any changes made.</w:t>
      </w:r>
    </w:p>
    <w:sectPr w:rsidR="009862C2" w:rsidSect="00E86997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97"/>
    <w:rsid w:val="00043CCF"/>
    <w:rsid w:val="005C1C61"/>
    <w:rsid w:val="009862C2"/>
    <w:rsid w:val="00C4513D"/>
    <w:rsid w:val="00E8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436EC"/>
  <w15:chartTrackingRefBased/>
  <w15:docId w15:val="{BE141B5B-88B7-4CD8-8C0C-44F89A4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1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Storie-Pugh</dc:creator>
  <cp:keywords/>
  <dc:description/>
  <cp:lastModifiedBy>Sasha Storie-Pugh</cp:lastModifiedBy>
  <cp:revision>2</cp:revision>
  <dcterms:created xsi:type="dcterms:W3CDTF">2026-03-27T16:37:00Z</dcterms:created>
  <dcterms:modified xsi:type="dcterms:W3CDTF">2026-03-27T16:43:00Z</dcterms:modified>
</cp:coreProperties>
</file>