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6F4B" w14:textId="62FC5D26" w:rsidR="00E83A2F" w:rsidRDefault="00E83A2F" w:rsidP="00E83A2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68E6AD4" wp14:editId="04DBC15B">
            <wp:extent cx="1226038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17"/>
                    <a:stretch/>
                  </pic:blipFill>
                  <pic:spPr bwMode="auto">
                    <a:xfrm>
                      <a:off x="0" y="0"/>
                      <a:ext cx="1234879" cy="621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3A600" w14:textId="27DF0CC3" w:rsidR="000C6B56" w:rsidRPr="00890621" w:rsidRDefault="004679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Miscondu</w:t>
      </w:r>
      <w:r w:rsidR="001003E1">
        <w:rPr>
          <w:b/>
          <w:bCs/>
          <w:sz w:val="28"/>
          <w:szCs w:val="28"/>
        </w:rPr>
        <w:t>ct In Unive</w:t>
      </w:r>
      <w:r w:rsidR="00800E1E">
        <w:rPr>
          <w:b/>
          <w:bCs/>
          <w:sz w:val="28"/>
          <w:szCs w:val="28"/>
        </w:rPr>
        <w:t xml:space="preserve">rsity </w:t>
      </w:r>
      <w:r w:rsidR="001003E1">
        <w:rPr>
          <w:b/>
          <w:bCs/>
          <w:sz w:val="28"/>
          <w:szCs w:val="28"/>
        </w:rPr>
        <w:t>Accommodation</w:t>
      </w:r>
      <w:r w:rsidR="00800E1E">
        <w:rPr>
          <w:b/>
          <w:bCs/>
          <w:sz w:val="28"/>
          <w:szCs w:val="28"/>
        </w:rPr>
        <w:t xml:space="preserve"> </w:t>
      </w:r>
      <w:r w:rsidR="008671FA">
        <w:rPr>
          <w:b/>
          <w:bCs/>
          <w:sz w:val="28"/>
          <w:szCs w:val="28"/>
        </w:rPr>
        <w:t xml:space="preserve">2024-2025 </w:t>
      </w:r>
      <w:r w:rsidR="00800E1E">
        <w:rPr>
          <w:b/>
          <w:bCs/>
          <w:sz w:val="28"/>
          <w:szCs w:val="28"/>
        </w:rPr>
        <w:t>– Student Information</w:t>
      </w:r>
    </w:p>
    <w:p w14:paraId="7E5EAD6C" w14:textId="4F71A609" w:rsidR="00890621" w:rsidRPr="00890621" w:rsidRDefault="00890621" w:rsidP="00890621">
      <w:pPr>
        <w:pStyle w:val="Pa2"/>
        <w:spacing w:after="100"/>
        <w:rPr>
          <w:rFonts w:cs="Theinhardt"/>
          <w:color w:val="000000"/>
          <w:sz w:val="22"/>
          <w:szCs w:val="22"/>
        </w:rPr>
      </w:pPr>
      <w:r w:rsidRPr="290DBD60">
        <w:rPr>
          <w:rFonts w:cs="Theinhardt"/>
          <w:color w:val="000000" w:themeColor="text1"/>
          <w:sz w:val="22"/>
          <w:szCs w:val="22"/>
        </w:rPr>
        <w:t xml:space="preserve">At York St John University we expect all students to be considerate and respectful housemates and neighbours, and behave in a way that reflects the </w:t>
      </w:r>
      <w:r w:rsidR="2648DB58" w:rsidRPr="290DBD60">
        <w:rPr>
          <w:rFonts w:cs="Theinhardt"/>
          <w:color w:val="000000" w:themeColor="text1"/>
          <w:sz w:val="22"/>
          <w:szCs w:val="22"/>
        </w:rPr>
        <w:t>U</w:t>
      </w:r>
      <w:r w:rsidRPr="290DBD60">
        <w:rPr>
          <w:rFonts w:cs="Theinhardt"/>
          <w:color w:val="000000" w:themeColor="text1"/>
          <w:sz w:val="22"/>
          <w:szCs w:val="22"/>
        </w:rPr>
        <w:t>niversity’s values.</w:t>
      </w:r>
    </w:p>
    <w:p w14:paraId="06B7C958" w14:textId="07DC72AE" w:rsidR="00890621" w:rsidRDefault="00890621">
      <w:r w:rsidRPr="290DBD60">
        <w:rPr>
          <w:rFonts w:cs="Theinhardt"/>
          <w:color w:val="000000" w:themeColor="text1"/>
        </w:rPr>
        <w:t>Section 8 of your Accommodation Terms and Conditions provides a thorough outline of how we expect you to behave in our accommodation. Some of the key points are also summarised in your Student Handbook</w:t>
      </w:r>
      <w:r w:rsidR="18AB992A" w:rsidRPr="290DBD60">
        <w:rPr>
          <w:rFonts w:cs="Theinhardt"/>
          <w:color w:val="000000" w:themeColor="text1"/>
        </w:rPr>
        <w:t>.</w:t>
      </w:r>
    </w:p>
    <w:p w14:paraId="14528AD6" w14:textId="71E5D988" w:rsidR="00890621" w:rsidRDefault="00E72596">
      <w:r>
        <w:t>If you feel that another student has breached their agreement, then you can report this to the Accommodation team</w:t>
      </w:r>
      <w:r w:rsidR="57507E5B">
        <w:t xml:space="preserve">, </w:t>
      </w:r>
      <w:r w:rsidR="1F004A78">
        <w:t>or to Casework (</w:t>
      </w:r>
      <w:hyperlink r:id="rId12" w:history="1">
        <w:r w:rsidR="1F004A78" w:rsidRPr="7DCAD639">
          <w:rPr>
            <w:rStyle w:val="Hyperlink"/>
          </w:rPr>
          <w:t>casework@yorksj.ac.uk</w:t>
        </w:r>
      </w:hyperlink>
      <w:r w:rsidR="1F004A78">
        <w:t xml:space="preserve">) </w:t>
      </w:r>
      <w:r w:rsidR="57507E5B">
        <w:t>who will look into the details of your complaint</w:t>
      </w:r>
      <w:r>
        <w:t xml:space="preserve">.  However, it is important to ensure that this is in perspective.  </w:t>
      </w:r>
    </w:p>
    <w:p w14:paraId="7045C031" w14:textId="262DD53C" w:rsidR="000C6B56" w:rsidRDefault="00E72596">
      <w:r>
        <w:t>For example, if someone within your flat is messy or never does the washing up, it is far better to speak to them directly and try and resolve this</w:t>
      </w:r>
      <w:r w:rsidR="04256172">
        <w:t xml:space="preserve"> reasonably</w:t>
      </w:r>
      <w:r>
        <w:t xml:space="preserve"> </w:t>
      </w:r>
      <w:r w:rsidR="29D5C42C">
        <w:t xml:space="preserve">with the person concerned </w:t>
      </w:r>
      <w:r>
        <w:t>rather than reporting them to the Accommodation team</w:t>
      </w:r>
      <w:r w:rsidR="07C3D6F6">
        <w:t xml:space="preserve">. </w:t>
      </w:r>
      <w:r w:rsidR="009B0B22">
        <w:t>Equally</w:t>
      </w:r>
      <w:r w:rsidR="07C3D6F6">
        <w:t>, publicly discussing this</w:t>
      </w:r>
      <w:r>
        <w:t xml:space="preserve"> on social media is likely to simply exacerbate the problem.</w:t>
      </w:r>
    </w:p>
    <w:p w14:paraId="3571A4B0" w14:textId="75520544" w:rsidR="000E6045" w:rsidRDefault="004B202F">
      <w:r>
        <w:t>Any action taken for breaches of your Accommod</w:t>
      </w:r>
      <w:r w:rsidR="00626C86">
        <w:t>ation Agreement are in line with the Student Disciplinary Proce</w:t>
      </w:r>
      <w:r w:rsidR="005D3FF8">
        <w:t xml:space="preserve">dure.   </w:t>
      </w:r>
      <w:r w:rsidR="5290589E">
        <w:t xml:space="preserve"> </w:t>
      </w:r>
      <w:hyperlink r:id="rId13" w:history="1">
        <w:r w:rsidR="5290589E" w:rsidRPr="7DCAD639">
          <w:rPr>
            <w:rStyle w:val="Hyperlink"/>
          </w:rPr>
          <w:t>https://www.yorksj.ac.uk/students/concerns-and-complaints/concerns-about-student-behaviour/</w:t>
        </w:r>
      </w:hyperlink>
      <w:r w:rsidR="5290589E">
        <w:t xml:space="preserve"> </w:t>
      </w:r>
    </w:p>
    <w:p w14:paraId="2E5022CD" w14:textId="4915C63B" w:rsidR="000C6B56" w:rsidRPr="00890621" w:rsidRDefault="000C6B56" w:rsidP="7EFD73C7">
      <w:pPr>
        <w:rPr>
          <w:b/>
          <w:bCs/>
          <w:sz w:val="24"/>
          <w:szCs w:val="24"/>
        </w:rPr>
      </w:pPr>
      <w:r w:rsidRPr="7EFD73C7">
        <w:rPr>
          <w:b/>
          <w:bCs/>
          <w:sz w:val="24"/>
          <w:szCs w:val="24"/>
        </w:rPr>
        <w:t>Stages of Misconduct</w:t>
      </w:r>
    </w:p>
    <w:p w14:paraId="7FE6C2B9" w14:textId="74CCA586" w:rsidR="000E6045" w:rsidRPr="00890621" w:rsidRDefault="00890621">
      <w:r w:rsidRPr="00890621">
        <w:t>The stages listed are not necessarily sequential and examples given are not an exhaustive list.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0"/>
        <w:gridCol w:w="7377"/>
      </w:tblGrid>
      <w:tr w:rsidR="00890621" w14:paraId="0F9CBA9F" w14:textId="77777777" w:rsidTr="7EFD73C7">
        <w:tc>
          <w:tcPr>
            <w:tcW w:w="1690" w:type="dxa"/>
          </w:tcPr>
          <w:p w14:paraId="0DAD7439" w14:textId="77777777" w:rsidR="00890621" w:rsidRPr="0089707B" w:rsidRDefault="00890621" w:rsidP="00C2676D">
            <w:pPr>
              <w:rPr>
                <w:b/>
                <w:bCs/>
              </w:rPr>
            </w:pPr>
            <w:r w:rsidRPr="0089707B">
              <w:rPr>
                <w:b/>
                <w:bCs/>
              </w:rPr>
              <w:t>Stage 1</w:t>
            </w:r>
          </w:p>
        </w:tc>
        <w:tc>
          <w:tcPr>
            <w:tcW w:w="7377" w:type="dxa"/>
          </w:tcPr>
          <w:tbl>
            <w:tblPr>
              <w:tblW w:w="67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5"/>
            </w:tblGrid>
            <w:tr w:rsidR="00890621" w14:paraId="712316B5" w14:textId="77777777" w:rsidTr="00D76B61">
              <w:trPr>
                <w:trHeight w:val="222"/>
              </w:trPr>
              <w:tc>
                <w:tcPr>
                  <w:tcW w:w="6735" w:type="dxa"/>
                </w:tcPr>
                <w:p w14:paraId="525076CA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Accidental / non malicious incident or damage </w:t>
                  </w:r>
                </w:p>
                <w:p w14:paraId="4496C025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Noise complaint </w:t>
                  </w:r>
                </w:p>
                <w:p w14:paraId="73E9F32E" w14:textId="272153C0" w:rsidR="0030012F" w:rsidRDefault="0030012F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2B0647" w14:textId="77777777" w:rsidR="00890621" w:rsidRDefault="00890621" w:rsidP="00C2676D"/>
        </w:tc>
      </w:tr>
      <w:tr w:rsidR="00890621" w14:paraId="5CB4C4E3" w14:textId="77777777" w:rsidTr="7EFD73C7">
        <w:tc>
          <w:tcPr>
            <w:tcW w:w="1690" w:type="dxa"/>
          </w:tcPr>
          <w:p w14:paraId="0AB01DA9" w14:textId="77777777" w:rsidR="00890621" w:rsidRPr="0089707B" w:rsidRDefault="00890621" w:rsidP="00C2676D">
            <w:pPr>
              <w:rPr>
                <w:b/>
                <w:bCs/>
              </w:rPr>
            </w:pPr>
            <w:r w:rsidRPr="0089707B">
              <w:rPr>
                <w:b/>
                <w:bCs/>
              </w:rPr>
              <w:t>Stage 2</w:t>
            </w:r>
          </w:p>
        </w:tc>
        <w:tc>
          <w:tcPr>
            <w:tcW w:w="7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8"/>
            </w:tblGrid>
            <w:tr w:rsidR="00890621" w14:paraId="511DFF82" w14:textId="77777777" w:rsidTr="034C3CAB">
              <w:trPr>
                <w:trHeight w:val="1075"/>
              </w:trPr>
              <w:tc>
                <w:tcPr>
                  <w:tcW w:w="0" w:type="auto"/>
                </w:tcPr>
                <w:p w14:paraId="216EA334" w14:textId="5A8B8870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290DBD60">
                    <w:rPr>
                      <w:sz w:val="20"/>
                      <w:szCs w:val="20"/>
                    </w:rPr>
                    <w:t xml:space="preserve">Repeat of stage 1 </w:t>
                  </w:r>
                </w:p>
                <w:p w14:paraId="0B32DDC2" w14:textId="2BD4B520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Non-malicious activation of fire alarm including as a result of unattended cooking </w:t>
                  </w:r>
                </w:p>
                <w:p w14:paraId="39721745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Party held in flat </w:t>
                  </w:r>
                </w:p>
                <w:p w14:paraId="68F389F5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Visitor staying for more than permitted time </w:t>
                  </w:r>
                </w:p>
                <w:p w14:paraId="62005850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Unacceptable standard of cleanliness (communal areas or bedroom) </w:t>
                  </w:r>
                </w:p>
                <w:p w14:paraId="4248ECDF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Unlit candles </w:t>
                  </w:r>
                </w:p>
                <w:p w14:paraId="5FE2A6EA" w14:textId="77777777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Cooking equipment in bedroom </w:t>
                  </w:r>
                </w:p>
                <w:p w14:paraId="686B526C" w14:textId="77777777" w:rsidR="007B7A76" w:rsidRDefault="004914C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‘</w:t>
                  </w:r>
                  <w:r w:rsidR="007B7A76">
                    <w:rPr>
                      <w:sz w:val="20"/>
                      <w:szCs w:val="20"/>
                    </w:rPr>
                    <w:t>Trophies</w:t>
                  </w:r>
                  <w:r>
                    <w:rPr>
                      <w:sz w:val="20"/>
                      <w:szCs w:val="20"/>
                    </w:rPr>
                    <w:t>’</w:t>
                  </w:r>
                  <w:r w:rsidR="007B7A76">
                    <w:rPr>
                      <w:sz w:val="20"/>
                      <w:szCs w:val="20"/>
                    </w:rPr>
                    <w:t xml:space="preserve"> in flat </w:t>
                  </w:r>
                  <w:proofErr w:type="gramStart"/>
                  <w:r w:rsidR="007B7A76">
                    <w:rPr>
                      <w:sz w:val="20"/>
                      <w:szCs w:val="20"/>
                    </w:rPr>
                    <w:t>e.g.</w:t>
                  </w:r>
                  <w:proofErr w:type="gramEnd"/>
                  <w:r w:rsidR="007B7A76">
                    <w:rPr>
                      <w:sz w:val="20"/>
                      <w:szCs w:val="20"/>
                    </w:rPr>
                    <w:t xml:space="preserve"> traffic</w:t>
                  </w:r>
                  <w:r>
                    <w:rPr>
                      <w:sz w:val="20"/>
                      <w:szCs w:val="20"/>
                    </w:rPr>
                    <w:t xml:space="preserve"> cones, road signs</w:t>
                  </w:r>
                </w:p>
                <w:p w14:paraId="1F47113C" w14:textId="77777777" w:rsidR="0030012F" w:rsidRDefault="0030012F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Evidence of pets in accommodation</w:t>
                  </w:r>
                </w:p>
                <w:p w14:paraId="2564AB44" w14:textId="02AC1F8E" w:rsidR="00E049F4" w:rsidRDefault="00E049F4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34C3CAB">
                    <w:rPr>
                      <w:sz w:val="20"/>
                      <w:szCs w:val="20"/>
                    </w:rPr>
                    <w:t xml:space="preserve">Failure to evacuate </w:t>
                  </w:r>
                  <w:r w:rsidR="00F25DD1" w:rsidRPr="034C3CAB">
                    <w:rPr>
                      <w:sz w:val="20"/>
                      <w:szCs w:val="20"/>
                    </w:rPr>
                    <w:t>during a fire alarm activation</w:t>
                  </w:r>
                </w:p>
                <w:p w14:paraId="21404DB8" w14:textId="77BBD181" w:rsidR="4F18955C" w:rsidRDefault="4F18955C" w:rsidP="034C3CA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34C3CAB">
                    <w:rPr>
                      <w:sz w:val="20"/>
                      <w:szCs w:val="20"/>
                    </w:rPr>
                    <w:t>Heater in bedroom (not YSJ issue)</w:t>
                  </w:r>
                </w:p>
                <w:p w14:paraId="02B411DD" w14:textId="6DEFB030" w:rsidR="00B81D37" w:rsidRDefault="00B81D37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E00F39" w14:textId="77777777" w:rsidR="00890621" w:rsidRDefault="00890621" w:rsidP="00C2676D"/>
        </w:tc>
      </w:tr>
      <w:tr w:rsidR="00890621" w14:paraId="7B28816C" w14:textId="77777777" w:rsidTr="7EFD73C7">
        <w:tc>
          <w:tcPr>
            <w:tcW w:w="1690" w:type="dxa"/>
          </w:tcPr>
          <w:p w14:paraId="4744E9FA" w14:textId="77777777" w:rsidR="00890621" w:rsidRDefault="00890621" w:rsidP="00C2676D">
            <w:pPr>
              <w:rPr>
                <w:b/>
                <w:bCs/>
              </w:rPr>
            </w:pPr>
            <w:r w:rsidRPr="0089707B">
              <w:rPr>
                <w:b/>
                <w:bCs/>
              </w:rPr>
              <w:t>Stage 3</w:t>
            </w:r>
          </w:p>
          <w:p w14:paraId="1DF227BC" w14:textId="5253ABCE" w:rsidR="00097CEB" w:rsidRPr="0089707B" w:rsidRDefault="00097CEB" w:rsidP="00C2676D">
            <w:pPr>
              <w:rPr>
                <w:b/>
                <w:bCs/>
              </w:rPr>
            </w:pPr>
          </w:p>
        </w:tc>
        <w:tc>
          <w:tcPr>
            <w:tcW w:w="7377" w:type="dxa"/>
          </w:tcPr>
          <w:tbl>
            <w:tblPr>
              <w:tblW w:w="69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5"/>
            </w:tblGrid>
            <w:tr w:rsidR="00890621" w14:paraId="6B74384B" w14:textId="77777777" w:rsidTr="00D76B61">
              <w:trPr>
                <w:trHeight w:val="466"/>
              </w:trPr>
              <w:tc>
                <w:tcPr>
                  <w:tcW w:w="6915" w:type="dxa"/>
                </w:tcPr>
                <w:p w14:paraId="05A2D715" w14:textId="77777777" w:rsidR="009467BB" w:rsidRDefault="00890621" w:rsidP="009467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Repeat of previous stages </w:t>
                  </w:r>
                </w:p>
                <w:p w14:paraId="6F254FBF" w14:textId="49EF8A8B" w:rsidR="009467BB" w:rsidRDefault="009467BB" w:rsidP="009467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Fire Safety issues including: </w:t>
                  </w:r>
                </w:p>
                <w:p w14:paraId="05715823" w14:textId="77777777" w:rsidR="009467BB" w:rsidRDefault="009467BB" w:rsidP="009467BB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Malicious activation of fire alarm </w:t>
                  </w:r>
                </w:p>
                <w:p w14:paraId="684EF308" w14:textId="77777777" w:rsidR="009467BB" w:rsidRDefault="009467BB" w:rsidP="009467BB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Covering a smoke detector </w:t>
                  </w:r>
                </w:p>
                <w:p w14:paraId="37CE5C37" w14:textId="77777777" w:rsidR="009467BB" w:rsidRDefault="009467BB" w:rsidP="009467BB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Tampering or removal of fire safety equipment </w:t>
                  </w:r>
                </w:p>
                <w:p w14:paraId="02B46973" w14:textId="77777777" w:rsidR="009467BB" w:rsidRDefault="009467BB" w:rsidP="009467BB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Evidence to suggest smoking in accommodation (including e-cigarettes) </w:t>
                  </w:r>
                </w:p>
                <w:p w14:paraId="2D49AAAA" w14:textId="77777777" w:rsidR="009467BB" w:rsidRDefault="009467BB" w:rsidP="009467BB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of candles, joss sticks, oil burners </w:t>
                  </w:r>
                </w:p>
                <w:p w14:paraId="511BED4B" w14:textId="77777777" w:rsidR="00BB31D0" w:rsidRDefault="009467BB" w:rsidP="00C2676D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9467BB">
                    <w:rPr>
                      <w:sz w:val="20"/>
                      <w:szCs w:val="20"/>
                    </w:rPr>
                    <w:t>Use of fireworks</w:t>
                  </w:r>
                </w:p>
                <w:p w14:paraId="20C61DDC" w14:textId="046CDE94" w:rsidR="00B81D37" w:rsidRPr="009467BB" w:rsidRDefault="00B81D37" w:rsidP="00F25DD1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A07800" w14:textId="77777777" w:rsidR="00890621" w:rsidRDefault="00890621" w:rsidP="00C2676D"/>
        </w:tc>
      </w:tr>
      <w:tr w:rsidR="00890621" w14:paraId="23CCFD36" w14:textId="77777777" w:rsidTr="7EFD73C7">
        <w:tc>
          <w:tcPr>
            <w:tcW w:w="1690" w:type="dxa"/>
          </w:tcPr>
          <w:p w14:paraId="41D83134" w14:textId="77777777" w:rsidR="00890621" w:rsidRDefault="00890621" w:rsidP="00C2676D">
            <w:pPr>
              <w:rPr>
                <w:b/>
                <w:bCs/>
              </w:rPr>
            </w:pPr>
            <w:r w:rsidRPr="0089707B">
              <w:rPr>
                <w:b/>
                <w:bCs/>
              </w:rPr>
              <w:lastRenderedPageBreak/>
              <w:t>Stage 4</w:t>
            </w:r>
          </w:p>
          <w:p w14:paraId="64FEE71E" w14:textId="77777777" w:rsidR="0052624A" w:rsidRDefault="0052624A" w:rsidP="00C2676D">
            <w:pPr>
              <w:rPr>
                <w:b/>
                <w:bCs/>
              </w:rPr>
            </w:pPr>
          </w:p>
          <w:p w14:paraId="721A7ECC" w14:textId="3CCED7B2" w:rsidR="0052624A" w:rsidRDefault="0052624A" w:rsidP="7EFD73C7">
            <w:pPr>
              <w:rPr>
                <w:b/>
                <w:bCs/>
              </w:rPr>
            </w:pPr>
          </w:p>
          <w:p w14:paraId="5D4705F4" w14:textId="08D6AD4D" w:rsidR="0052624A" w:rsidRDefault="0052624A" w:rsidP="7EFD73C7">
            <w:pPr>
              <w:rPr>
                <w:b/>
                <w:bCs/>
              </w:rPr>
            </w:pPr>
          </w:p>
          <w:p w14:paraId="617DA2DC" w14:textId="0E43F8A7" w:rsidR="0052624A" w:rsidRDefault="062C2DC6" w:rsidP="00C2676D">
            <w:pPr>
              <w:rPr>
                <w:b/>
                <w:bCs/>
              </w:rPr>
            </w:pPr>
            <w:r w:rsidRPr="7EFD73C7">
              <w:rPr>
                <w:b/>
                <w:bCs/>
              </w:rPr>
              <w:t>R</w:t>
            </w:r>
            <w:r w:rsidR="7793AABA" w:rsidRPr="7EFD73C7">
              <w:rPr>
                <w:b/>
                <w:bCs/>
              </w:rPr>
              <w:t xml:space="preserve">efer to Casework to initiate </w:t>
            </w:r>
            <w:r w:rsidR="247321E4" w:rsidRPr="7EFD73C7">
              <w:rPr>
                <w:b/>
                <w:bCs/>
              </w:rPr>
              <w:t>Discipl</w:t>
            </w:r>
            <w:r w:rsidR="06F74354" w:rsidRPr="7EFD73C7">
              <w:rPr>
                <w:b/>
                <w:bCs/>
              </w:rPr>
              <w:t>inary Process</w:t>
            </w:r>
          </w:p>
          <w:p w14:paraId="5BF9FBE0" w14:textId="623D3741" w:rsidR="0095569C" w:rsidRPr="0089707B" w:rsidRDefault="0095569C" w:rsidP="00C2676D">
            <w:pPr>
              <w:rPr>
                <w:b/>
                <w:bCs/>
              </w:rPr>
            </w:pPr>
          </w:p>
        </w:tc>
        <w:tc>
          <w:tcPr>
            <w:tcW w:w="7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6"/>
            </w:tblGrid>
            <w:tr w:rsidR="00890621" w14:paraId="6DE44959" w14:textId="77777777" w:rsidTr="00BB31D0">
              <w:trPr>
                <w:trHeight w:val="800"/>
              </w:trPr>
              <w:tc>
                <w:tcPr>
                  <w:tcW w:w="0" w:type="auto"/>
                </w:tcPr>
                <w:p w14:paraId="3D39CFC3" w14:textId="0EABCB69" w:rsidR="00890621" w:rsidRDefault="00890621" w:rsidP="00C26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Repeat of previous stages </w:t>
                  </w:r>
                </w:p>
              </w:tc>
            </w:tr>
          </w:tbl>
          <w:p w14:paraId="69DECF8B" w14:textId="77777777" w:rsidR="00890621" w:rsidRDefault="00890621" w:rsidP="00C2676D"/>
        </w:tc>
      </w:tr>
      <w:tr w:rsidR="00890621" w14:paraId="15C0231B" w14:textId="77777777" w:rsidTr="7EFD73C7">
        <w:tc>
          <w:tcPr>
            <w:tcW w:w="1690" w:type="dxa"/>
          </w:tcPr>
          <w:p w14:paraId="7554C401" w14:textId="77777777" w:rsidR="00890621" w:rsidRDefault="00890621" w:rsidP="00C2676D">
            <w:pPr>
              <w:rPr>
                <w:b/>
                <w:bCs/>
              </w:rPr>
            </w:pPr>
            <w:r w:rsidRPr="0089707B">
              <w:rPr>
                <w:b/>
                <w:bCs/>
              </w:rPr>
              <w:t>Stage 5</w:t>
            </w:r>
          </w:p>
          <w:p w14:paraId="51DDC949" w14:textId="77777777" w:rsidR="0095569C" w:rsidRDefault="0095569C" w:rsidP="00C2676D">
            <w:pPr>
              <w:rPr>
                <w:b/>
                <w:bCs/>
              </w:rPr>
            </w:pPr>
          </w:p>
          <w:p w14:paraId="273A7373" w14:textId="2557312F" w:rsidR="0095569C" w:rsidRPr="0089707B" w:rsidRDefault="665C6385" w:rsidP="7EFD73C7">
            <w:pPr>
              <w:rPr>
                <w:b/>
                <w:bCs/>
              </w:rPr>
            </w:pPr>
            <w:r w:rsidRPr="7EFD73C7">
              <w:rPr>
                <w:b/>
                <w:bCs/>
              </w:rPr>
              <w:t xml:space="preserve"> </w:t>
            </w:r>
          </w:p>
          <w:p w14:paraId="6F5C6C35" w14:textId="045F0B43" w:rsidR="0095569C" w:rsidRPr="0089707B" w:rsidRDefault="0095569C" w:rsidP="7EFD73C7">
            <w:pPr>
              <w:rPr>
                <w:b/>
                <w:bCs/>
              </w:rPr>
            </w:pPr>
          </w:p>
          <w:p w14:paraId="0A1AC1CF" w14:textId="67FF8326" w:rsidR="0095569C" w:rsidRPr="0089707B" w:rsidRDefault="665C6385" w:rsidP="7EFD73C7">
            <w:pPr>
              <w:rPr>
                <w:b/>
                <w:bCs/>
              </w:rPr>
            </w:pPr>
            <w:r w:rsidRPr="7EFD73C7">
              <w:rPr>
                <w:b/>
                <w:bCs/>
              </w:rPr>
              <w:t xml:space="preserve">Refer to Casework to </w:t>
            </w:r>
            <w:r w:rsidR="00382FAB" w:rsidRPr="7EFD73C7">
              <w:rPr>
                <w:b/>
                <w:bCs/>
              </w:rPr>
              <w:t>initiate Disciplinary</w:t>
            </w:r>
            <w:r w:rsidRPr="7EFD73C7">
              <w:rPr>
                <w:b/>
                <w:bCs/>
              </w:rPr>
              <w:t xml:space="preserve"> Process</w:t>
            </w:r>
          </w:p>
        </w:tc>
        <w:tc>
          <w:tcPr>
            <w:tcW w:w="7377" w:type="dxa"/>
          </w:tcPr>
          <w:tbl>
            <w:tblPr>
              <w:tblW w:w="7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296330" w:rsidRPr="0089707B" w14:paraId="50BAD52D" w14:textId="77777777" w:rsidTr="7EFD73C7">
              <w:trPr>
                <w:trHeight w:val="222"/>
              </w:trPr>
              <w:tc>
                <w:tcPr>
                  <w:tcW w:w="7155" w:type="dxa"/>
                </w:tcPr>
                <w:p w14:paraId="43D08B07" w14:textId="77777777" w:rsidR="00296330" w:rsidRPr="00F13051" w:rsidRDefault="00296330" w:rsidP="002963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Risk to wellbeing of others and or damage to property</w:t>
                  </w:r>
                </w:p>
                <w:p w14:paraId="327255CC" w14:textId="77777777" w:rsidR="00296330" w:rsidRPr="00955013" w:rsidRDefault="00296330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Items that may cause risk to others </w:t>
                  </w:r>
                  <w:proofErr w:type="gramStart"/>
                  <w:r>
                    <w:rPr>
                      <w:sz w:val="20"/>
                      <w:szCs w:val="20"/>
                    </w:rPr>
                    <w:t>e.g.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knives, replica weapons</w:t>
                  </w:r>
                </w:p>
                <w:p w14:paraId="67524D2C" w14:textId="4812EF8C" w:rsidR="00296330" w:rsidRPr="00955013" w:rsidRDefault="0D963F0A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7EFD73C7">
                    <w:rPr>
                      <w:sz w:val="20"/>
                      <w:szCs w:val="20"/>
                    </w:rPr>
                    <w:t xml:space="preserve">Verbal abuse / threatening behaviour </w:t>
                  </w:r>
                </w:p>
                <w:p w14:paraId="5B67778F" w14:textId="77777777" w:rsidR="00296330" w:rsidRDefault="00296330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55013">
                    <w:rPr>
                      <w:sz w:val="20"/>
                      <w:szCs w:val="20"/>
                    </w:rPr>
                    <w:t>Bullying or harassment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B629C57" w14:textId="77777777" w:rsidR="00296330" w:rsidRPr="00955013" w:rsidRDefault="00296330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Hate incidents</w:t>
                  </w:r>
                </w:p>
                <w:p w14:paraId="011484F5" w14:textId="77777777" w:rsidR="00296330" w:rsidRDefault="00296330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55013">
                    <w:rPr>
                      <w:sz w:val="20"/>
                      <w:szCs w:val="20"/>
                    </w:rPr>
                    <w:t>Damage to University Property</w:t>
                  </w:r>
                </w:p>
                <w:p w14:paraId="0B3D6C32" w14:textId="034FEA0F" w:rsidR="00296330" w:rsidRDefault="0D963F0A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7EFD73C7">
                    <w:rPr>
                      <w:sz w:val="20"/>
                      <w:szCs w:val="20"/>
                    </w:rPr>
                    <w:t>Violence</w:t>
                  </w:r>
                  <w:r w:rsidR="39510729" w:rsidRPr="7EFD73C7">
                    <w:rPr>
                      <w:sz w:val="20"/>
                      <w:szCs w:val="20"/>
                    </w:rPr>
                    <w:t xml:space="preserve"> and </w:t>
                  </w:r>
                  <w:r w:rsidR="4F8F6D10" w:rsidRPr="7EFD73C7">
                    <w:rPr>
                      <w:sz w:val="20"/>
                      <w:szCs w:val="20"/>
                    </w:rPr>
                    <w:t>physical</w:t>
                  </w:r>
                  <w:r w:rsidR="39510729" w:rsidRPr="7EFD73C7">
                    <w:rPr>
                      <w:sz w:val="20"/>
                      <w:szCs w:val="20"/>
                    </w:rPr>
                    <w:t xml:space="preserve"> misconduct </w:t>
                  </w:r>
                </w:p>
                <w:p w14:paraId="4E6C6EB0" w14:textId="44C8525F" w:rsidR="00296330" w:rsidRDefault="0D963F0A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7EFD73C7">
                    <w:rPr>
                      <w:sz w:val="20"/>
                      <w:szCs w:val="20"/>
                    </w:rPr>
                    <w:t xml:space="preserve">Sexual </w:t>
                  </w:r>
                  <w:r w:rsidR="17C52F18" w:rsidRPr="7EFD73C7">
                    <w:rPr>
                      <w:sz w:val="20"/>
                      <w:szCs w:val="20"/>
                    </w:rPr>
                    <w:t xml:space="preserve">misconduct </w:t>
                  </w:r>
                </w:p>
                <w:p w14:paraId="47D15B70" w14:textId="1977E3C7" w:rsidR="08D7E3EF" w:rsidRDefault="08D7E3EF" w:rsidP="7EFD73C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7EFD73C7">
                    <w:rPr>
                      <w:sz w:val="20"/>
                      <w:szCs w:val="20"/>
                    </w:rPr>
                    <w:t>Breaching the Safeguarding and Prevent Policy</w:t>
                  </w:r>
                </w:p>
                <w:p w14:paraId="30DF47F1" w14:textId="77777777" w:rsidR="00296330" w:rsidRPr="00955013" w:rsidRDefault="00296330" w:rsidP="0029633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Proven acts of criminality including use / dealing of illegal substances</w:t>
                  </w:r>
                </w:p>
                <w:p w14:paraId="25FF5DB6" w14:textId="4E3063F7" w:rsidR="00296330" w:rsidRPr="0089707B" w:rsidRDefault="00296330" w:rsidP="00296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A90F2D2" w14:textId="77777777" w:rsidR="00890621" w:rsidRDefault="00890621" w:rsidP="00C2676D"/>
        </w:tc>
      </w:tr>
    </w:tbl>
    <w:p w14:paraId="0A01679E" w14:textId="77777777" w:rsidR="00054B35" w:rsidRDefault="00054B35">
      <w:pPr>
        <w:rPr>
          <w:b/>
          <w:bCs/>
          <w:sz w:val="24"/>
          <w:szCs w:val="24"/>
        </w:rPr>
      </w:pPr>
    </w:p>
    <w:p w14:paraId="19CD6529" w14:textId="65DA7D2F" w:rsidR="000C6B56" w:rsidRPr="00890621" w:rsidRDefault="000C6B56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What happens if someone breaches their agreement?</w:t>
      </w:r>
    </w:p>
    <w:p w14:paraId="4F68DDF9" w14:textId="0C17EFDC" w:rsidR="00B77579" w:rsidRDefault="004078D8" w:rsidP="7EFD73C7">
      <w:r>
        <w:t>Stage 1 and Stage 2 incidents</w:t>
      </w:r>
      <w:r w:rsidR="00E72596">
        <w:t xml:space="preserve"> will</w:t>
      </w:r>
      <w:r w:rsidR="00895D10">
        <w:t xml:space="preserve"> be</w:t>
      </w:r>
      <w:r>
        <w:t xml:space="preserve"> investigated to gather </w:t>
      </w:r>
      <w:r w:rsidR="00E72596">
        <w:t>further information</w:t>
      </w:r>
      <w:r w:rsidR="7E55F06A">
        <w:t xml:space="preserve">, </w:t>
      </w:r>
      <w:r>
        <w:t xml:space="preserve">and may then result in a formal warning.  </w:t>
      </w:r>
      <w:r w:rsidR="1AD89DDE">
        <w:t xml:space="preserve">This investigation will be conducted via email or in person. </w:t>
      </w:r>
      <w:r>
        <w:t xml:space="preserve">Incidents at stage </w:t>
      </w:r>
      <w:r w:rsidR="00007D4A">
        <w:t>3 will</w:t>
      </w:r>
      <w:r w:rsidR="33D09B98">
        <w:t xml:space="preserve"> </w:t>
      </w:r>
      <w:r>
        <w:t>result in a</w:t>
      </w:r>
      <w:r w:rsidR="001E170E">
        <w:t xml:space="preserve">n </w:t>
      </w:r>
      <w:r>
        <w:t>investigation by the Accommodation Team</w:t>
      </w:r>
      <w:r w:rsidR="001E170E">
        <w:t xml:space="preserve"> and </w:t>
      </w:r>
      <w:r w:rsidR="00713777">
        <w:t>may incur a financial penal</w:t>
      </w:r>
      <w:r w:rsidR="00B77579">
        <w:t>ty</w:t>
      </w:r>
      <w:r w:rsidR="79CDA918">
        <w:t xml:space="preserve">. </w:t>
      </w:r>
      <w:r w:rsidR="4518F04E">
        <w:t xml:space="preserve">All outcomes of Stage 3 incidents should be reported to the Casework Team. </w:t>
      </w:r>
      <w:r w:rsidR="79CDA918">
        <w:t xml:space="preserve">Depending on the </w:t>
      </w:r>
      <w:r w:rsidR="06740B1D">
        <w:t xml:space="preserve">nature of the </w:t>
      </w:r>
      <w:r w:rsidR="79CDA918">
        <w:t xml:space="preserve">incident, the case may be referred into the Student Disciplinary Process. </w:t>
      </w:r>
      <w:r w:rsidR="00B77579">
        <w:t>Any incidents deemed to be at</w:t>
      </w:r>
      <w:r w:rsidR="68C79659">
        <w:t xml:space="preserve"> Stage 4 and</w:t>
      </w:r>
      <w:r w:rsidR="00B77579">
        <w:t xml:space="preserve"> Stage </w:t>
      </w:r>
      <w:r w:rsidR="00EF4445">
        <w:t xml:space="preserve">5 will result in a formal investigation </w:t>
      </w:r>
      <w:r w:rsidR="00FC7CE4">
        <w:t xml:space="preserve">under </w:t>
      </w:r>
      <w:r w:rsidR="00097CEB">
        <w:t>the Student Disciplinary Process</w:t>
      </w:r>
      <w:r w:rsidR="137AE9C8">
        <w:t xml:space="preserve">- </w:t>
      </w:r>
      <w:hyperlink r:id="rId14" w:history="1">
        <w:r w:rsidR="137AE9C8" w:rsidRPr="7EFD73C7">
          <w:rPr>
            <w:rStyle w:val="Hyperlink"/>
            <w:rFonts w:ascii="Calibri" w:eastAsia="Calibri" w:hAnsi="Calibri" w:cs="Calibri"/>
          </w:rPr>
          <w:t>Student-Disciplinary-Policy-and-Procedure-2324.pdf (yorksj.ac.uk)</w:t>
        </w:r>
      </w:hyperlink>
    </w:p>
    <w:p w14:paraId="014BF27B" w14:textId="77777777" w:rsidR="00890621" w:rsidRPr="00890621" w:rsidRDefault="00890621" w:rsidP="002344B6"/>
    <w:p w14:paraId="2424D87B" w14:textId="0C0D511D" w:rsidR="002344B6" w:rsidRPr="00890621" w:rsidRDefault="002344B6" w:rsidP="002344B6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What is regarded as evidence?</w:t>
      </w:r>
    </w:p>
    <w:p w14:paraId="3491AEEA" w14:textId="77777777" w:rsidR="002344B6" w:rsidRDefault="002344B6" w:rsidP="002344B6">
      <w:r>
        <w:t>Depending on the nature of the incident, this could include</w:t>
      </w:r>
    </w:p>
    <w:p w14:paraId="53F024BE" w14:textId="50BF8E69" w:rsidR="002344B6" w:rsidRDefault="002344B6" w:rsidP="002344B6">
      <w:pPr>
        <w:pStyle w:val="ListParagraph"/>
        <w:numPr>
          <w:ilvl w:val="0"/>
          <w:numId w:val="3"/>
        </w:numPr>
      </w:pPr>
      <w:r>
        <w:t>Security reports including video badge recordings and CCTV images</w:t>
      </w:r>
    </w:p>
    <w:p w14:paraId="3EBE6FC8" w14:textId="77777777" w:rsidR="002344B6" w:rsidRDefault="002344B6" w:rsidP="002344B6">
      <w:pPr>
        <w:pStyle w:val="ListParagraph"/>
        <w:numPr>
          <w:ilvl w:val="0"/>
          <w:numId w:val="3"/>
        </w:numPr>
      </w:pPr>
      <w:r>
        <w:t>Screen shots of social media</w:t>
      </w:r>
    </w:p>
    <w:p w14:paraId="2AD30E92" w14:textId="77777777" w:rsidR="002344B6" w:rsidRDefault="002344B6" w:rsidP="002344B6">
      <w:pPr>
        <w:pStyle w:val="ListParagraph"/>
        <w:numPr>
          <w:ilvl w:val="0"/>
          <w:numId w:val="3"/>
        </w:numPr>
      </w:pPr>
      <w:r>
        <w:t>Photographs</w:t>
      </w:r>
    </w:p>
    <w:p w14:paraId="7DE2B261" w14:textId="77777777" w:rsidR="002344B6" w:rsidRDefault="002344B6" w:rsidP="002344B6">
      <w:pPr>
        <w:pStyle w:val="ListParagraph"/>
        <w:numPr>
          <w:ilvl w:val="0"/>
          <w:numId w:val="3"/>
        </w:numPr>
      </w:pPr>
      <w:r>
        <w:t>Witness statements.</w:t>
      </w:r>
    </w:p>
    <w:p w14:paraId="7CE22E0B" w14:textId="77777777" w:rsidR="002344B6" w:rsidRDefault="002344B6" w:rsidP="002344B6">
      <w:r>
        <w:t xml:space="preserve">Hearsay and personal opinion </w:t>
      </w:r>
      <w:r w:rsidRPr="00D04896">
        <w:rPr>
          <w:u w:val="single"/>
        </w:rPr>
        <w:t>do not</w:t>
      </w:r>
      <w:r>
        <w:t xml:space="preserve"> provide evidence for action to be taken against an individual.</w:t>
      </w:r>
    </w:p>
    <w:p w14:paraId="4B28E1CC" w14:textId="6BD04E5C" w:rsidR="004078D8" w:rsidRPr="00890621" w:rsidRDefault="004078D8" w:rsidP="7EFD73C7">
      <w:pPr>
        <w:rPr>
          <w:b/>
          <w:bCs/>
          <w:sz w:val="24"/>
          <w:szCs w:val="24"/>
        </w:rPr>
      </w:pPr>
      <w:r w:rsidRPr="7EFD73C7">
        <w:rPr>
          <w:b/>
          <w:bCs/>
          <w:sz w:val="24"/>
          <w:szCs w:val="24"/>
        </w:rPr>
        <w:t>What happens at an investigation meeting?</w:t>
      </w:r>
    </w:p>
    <w:p w14:paraId="6F9D20C2" w14:textId="35562496" w:rsidR="004078D8" w:rsidRDefault="004078D8">
      <w:r>
        <w:t xml:space="preserve">You may be called to an investigation meeting as the </w:t>
      </w:r>
      <w:r w:rsidR="00DF0AEC">
        <w:t>report</w:t>
      </w:r>
      <w:r w:rsidR="008E6379">
        <w:t xml:space="preserve">ing student, the respondent </w:t>
      </w:r>
      <w:r>
        <w:t xml:space="preserve">or </w:t>
      </w:r>
      <w:r w:rsidR="00C009F2">
        <w:t>a witness.</w:t>
      </w:r>
    </w:p>
    <w:p w14:paraId="457EF160" w14:textId="58F1498F" w:rsidR="00C009F2" w:rsidRDefault="00C009F2">
      <w:r>
        <w:t>In all cases, the following will take place</w:t>
      </w:r>
    </w:p>
    <w:p w14:paraId="3B9FE165" w14:textId="1A35632B" w:rsidR="00C009F2" w:rsidRDefault="65C473C0" w:rsidP="00C009F2">
      <w:pPr>
        <w:pStyle w:val="ListParagraph"/>
        <w:numPr>
          <w:ilvl w:val="0"/>
          <w:numId w:val="1"/>
        </w:numPr>
      </w:pPr>
      <w:r>
        <w:t>Two</w:t>
      </w:r>
      <w:r w:rsidR="00C009F2">
        <w:t xml:space="preserve"> members of staff will be in attendance</w:t>
      </w:r>
    </w:p>
    <w:p w14:paraId="679EDFC6" w14:textId="129BFDDD" w:rsidR="00C009F2" w:rsidRDefault="00C009F2" w:rsidP="00C009F2">
      <w:pPr>
        <w:pStyle w:val="ListParagraph"/>
        <w:numPr>
          <w:ilvl w:val="0"/>
          <w:numId w:val="1"/>
        </w:numPr>
      </w:pPr>
      <w:r>
        <w:lastRenderedPageBreak/>
        <w:t>The alleged misconduct will be outlined to you</w:t>
      </w:r>
    </w:p>
    <w:p w14:paraId="0566BD03" w14:textId="0D2A3A99" w:rsidR="00C009F2" w:rsidRDefault="00C009F2" w:rsidP="00C009F2">
      <w:pPr>
        <w:pStyle w:val="ListParagraph"/>
        <w:numPr>
          <w:ilvl w:val="0"/>
          <w:numId w:val="1"/>
        </w:numPr>
      </w:pPr>
      <w:r>
        <w:t>You will be asked for your version of events and</w:t>
      </w:r>
      <w:r w:rsidR="5FE20F7E">
        <w:t>/</w:t>
      </w:r>
      <w:r>
        <w:t>or what you witnessed</w:t>
      </w:r>
    </w:p>
    <w:p w14:paraId="42F7A344" w14:textId="3A3530DF" w:rsidR="00C009F2" w:rsidRDefault="00C009F2" w:rsidP="00C009F2">
      <w:pPr>
        <w:pStyle w:val="ListParagraph"/>
        <w:numPr>
          <w:ilvl w:val="0"/>
          <w:numId w:val="1"/>
        </w:numPr>
      </w:pPr>
      <w:r>
        <w:t>One of the members of staff will take notes of the meeting</w:t>
      </w:r>
    </w:p>
    <w:p w14:paraId="25A0A2DF" w14:textId="2816A81F" w:rsidR="00C009F2" w:rsidRDefault="00C009F2" w:rsidP="00C009F2">
      <w:pPr>
        <w:pStyle w:val="ListParagraph"/>
        <w:numPr>
          <w:ilvl w:val="0"/>
          <w:numId w:val="1"/>
        </w:numPr>
      </w:pPr>
      <w:r>
        <w:t>The notes will be shared with you via email to agree and</w:t>
      </w:r>
      <w:r w:rsidR="6C3B6202">
        <w:t>/</w:t>
      </w:r>
      <w:r>
        <w:t>or amend.  If you do not respond to the email</w:t>
      </w:r>
      <w:r w:rsidR="407B4859">
        <w:t>,</w:t>
      </w:r>
      <w:r>
        <w:t xml:space="preserve"> it will be assumed that you agree with the written notes</w:t>
      </w:r>
    </w:p>
    <w:p w14:paraId="3AF3D69C" w14:textId="46D693CB" w:rsidR="00C009F2" w:rsidRPr="00890621" w:rsidRDefault="00C009F2" w:rsidP="00C009F2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What happens if I cannot make the meeting?</w:t>
      </w:r>
    </w:p>
    <w:p w14:paraId="1AF3DADB" w14:textId="15712B76" w:rsidR="00890621" w:rsidRDefault="00C009F2" w:rsidP="00C009F2">
      <w:r>
        <w:t>If you are unable to attend for a valid reason, then you should contact the Accommodation team</w:t>
      </w:r>
      <w:r w:rsidR="0873EFDB">
        <w:t>/Casework</w:t>
      </w:r>
      <w:r>
        <w:t xml:space="preserve"> to arrange an alternative time.   If you continually fail to engage and are the alleged perpetrator, the matter will be dealt with in your absence.</w:t>
      </w:r>
    </w:p>
    <w:p w14:paraId="0DD13D5B" w14:textId="77777777" w:rsidR="000E6045" w:rsidRPr="00951635" w:rsidRDefault="000E6045" w:rsidP="00C009F2"/>
    <w:p w14:paraId="68576F3F" w14:textId="51F0B8F1" w:rsidR="00C009F2" w:rsidRPr="00890621" w:rsidRDefault="00C009F2" w:rsidP="00C009F2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Can I bring someone with me to the meeting?</w:t>
      </w:r>
    </w:p>
    <w:p w14:paraId="17107FAA" w14:textId="0D04A439" w:rsidR="00890621" w:rsidRDefault="00C009F2" w:rsidP="00C009F2">
      <w:r>
        <w:t>You can bring someone for support, but they cannot speak on your behalf unless previously agreed with the Accommodation Manager.</w:t>
      </w:r>
      <w:r w:rsidR="03770AB5">
        <w:t xml:space="preserve"> This can be a fellow current student, staff member or representative from the SU.</w:t>
      </w:r>
    </w:p>
    <w:p w14:paraId="3657B372" w14:textId="77777777" w:rsidR="000E6045" w:rsidRPr="00951635" w:rsidRDefault="000E6045" w:rsidP="00C009F2"/>
    <w:p w14:paraId="01AB030C" w14:textId="181FCD37" w:rsidR="00C009F2" w:rsidRPr="00890621" w:rsidRDefault="00C009F2" w:rsidP="00C009F2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What are the potential outcomes of the investigation?</w:t>
      </w:r>
    </w:p>
    <w:p w14:paraId="566A0946" w14:textId="30D67F4F" w:rsidR="00C009F2" w:rsidRDefault="00C009F2" w:rsidP="00C009F2">
      <w:pPr>
        <w:pStyle w:val="ListParagraph"/>
        <w:numPr>
          <w:ilvl w:val="0"/>
          <w:numId w:val="2"/>
        </w:numPr>
      </w:pPr>
      <w:r>
        <w:t xml:space="preserve">No case to answer – </w:t>
      </w:r>
      <w:r w:rsidR="00D04896">
        <w:t>no further action taken</w:t>
      </w:r>
    </w:p>
    <w:p w14:paraId="5C567763" w14:textId="5F55F73A" w:rsidR="00D04896" w:rsidRDefault="00D04896" w:rsidP="00C009F2">
      <w:pPr>
        <w:pStyle w:val="ListParagraph"/>
        <w:numPr>
          <w:ilvl w:val="0"/>
          <w:numId w:val="2"/>
        </w:numPr>
      </w:pPr>
      <w:r>
        <w:t>Insufficient evidence – no further action taken</w:t>
      </w:r>
    </w:p>
    <w:p w14:paraId="50348227" w14:textId="73635B57" w:rsidR="00C009F2" w:rsidRDefault="00C009F2" w:rsidP="00C009F2">
      <w:pPr>
        <w:pStyle w:val="ListParagraph"/>
        <w:numPr>
          <w:ilvl w:val="0"/>
          <w:numId w:val="2"/>
        </w:numPr>
      </w:pPr>
      <w:r>
        <w:t xml:space="preserve">Fine issued </w:t>
      </w:r>
      <w:r w:rsidR="00BC1E17">
        <w:t>(</w:t>
      </w:r>
      <w:r>
        <w:t>Stage 3</w:t>
      </w:r>
      <w:r w:rsidR="00BC1E17">
        <w:t xml:space="preserve"> and </w:t>
      </w:r>
      <w:proofErr w:type="gramStart"/>
      <w:r w:rsidR="0EDA863F">
        <w:t>some  stage</w:t>
      </w:r>
      <w:proofErr w:type="gramEnd"/>
      <w:r w:rsidR="0EDA863F">
        <w:t xml:space="preserve"> </w:t>
      </w:r>
      <w:r w:rsidR="00BC1E17">
        <w:t>4</w:t>
      </w:r>
      <w:r>
        <w:t xml:space="preserve"> breaches)</w:t>
      </w:r>
    </w:p>
    <w:p w14:paraId="36B1A349" w14:textId="7E989377" w:rsidR="001E3CE9" w:rsidRDefault="00150EB9" w:rsidP="00C009F2">
      <w:pPr>
        <w:pStyle w:val="ListParagraph"/>
        <w:numPr>
          <w:ilvl w:val="0"/>
          <w:numId w:val="2"/>
        </w:numPr>
      </w:pPr>
      <w:r>
        <w:t xml:space="preserve">Referral to </w:t>
      </w:r>
      <w:r w:rsidR="004E07FC">
        <w:t>Casework for action under the Student Disciplinary Process</w:t>
      </w:r>
    </w:p>
    <w:p w14:paraId="6720E9D3" w14:textId="7E810534" w:rsidR="00C009F2" w:rsidRDefault="00D04896" w:rsidP="00C009F2">
      <w:pPr>
        <w:pStyle w:val="ListParagraph"/>
        <w:numPr>
          <w:ilvl w:val="0"/>
          <w:numId w:val="2"/>
        </w:numPr>
      </w:pPr>
      <w:r>
        <w:t>Depending on the nature of the incident, this could then result in any or a combination of the following</w:t>
      </w:r>
      <w:r w:rsidR="3F348217">
        <w:t>:</w:t>
      </w:r>
    </w:p>
    <w:p w14:paraId="42B7102C" w14:textId="71C7E2CE" w:rsidR="00D04896" w:rsidRDefault="00D04896" w:rsidP="00D04896">
      <w:pPr>
        <w:pStyle w:val="ListParagraph"/>
        <w:numPr>
          <w:ilvl w:val="1"/>
          <w:numId w:val="2"/>
        </w:numPr>
      </w:pPr>
      <w:r>
        <w:t>Incident deemed to have no case to answer or insufficient evidence</w:t>
      </w:r>
      <w:r w:rsidR="2EBE42FA">
        <w:t>;</w:t>
      </w:r>
    </w:p>
    <w:p w14:paraId="7B09D528" w14:textId="0D7F94AA" w:rsidR="00D04896" w:rsidRDefault="00D04896" w:rsidP="00D04896">
      <w:pPr>
        <w:pStyle w:val="ListParagraph"/>
        <w:numPr>
          <w:ilvl w:val="1"/>
          <w:numId w:val="2"/>
        </w:numPr>
      </w:pPr>
      <w:r>
        <w:t>A fine</w:t>
      </w:r>
      <w:r w:rsidR="1C494273">
        <w:t>;</w:t>
      </w:r>
    </w:p>
    <w:p w14:paraId="67093ABE" w14:textId="6C243086" w:rsidR="00D04896" w:rsidRDefault="00D04896" w:rsidP="00D04896">
      <w:pPr>
        <w:pStyle w:val="ListParagraph"/>
        <w:numPr>
          <w:ilvl w:val="1"/>
          <w:numId w:val="2"/>
        </w:numPr>
      </w:pPr>
      <w:r>
        <w:t>A compulsory move to alternative accommodation</w:t>
      </w:r>
      <w:r w:rsidR="1D80A383">
        <w:t>;</w:t>
      </w:r>
    </w:p>
    <w:p w14:paraId="426B3CF9" w14:textId="2101E678" w:rsidR="00D04896" w:rsidRDefault="00D04896" w:rsidP="00D04896">
      <w:pPr>
        <w:pStyle w:val="ListParagraph"/>
        <w:numPr>
          <w:ilvl w:val="1"/>
          <w:numId w:val="2"/>
        </w:numPr>
      </w:pPr>
      <w:r>
        <w:t>Exclusion from accommodation</w:t>
      </w:r>
      <w:r w:rsidR="27838042">
        <w:t>;</w:t>
      </w:r>
    </w:p>
    <w:p w14:paraId="68A25BAE" w14:textId="639A414C" w:rsidR="00D04896" w:rsidRDefault="00D04896" w:rsidP="00D04896">
      <w:pPr>
        <w:pStyle w:val="ListParagraph"/>
        <w:numPr>
          <w:ilvl w:val="1"/>
          <w:numId w:val="2"/>
        </w:numPr>
      </w:pPr>
      <w:r>
        <w:t xml:space="preserve">Referral to Casework for review under Student </w:t>
      </w:r>
      <w:r w:rsidR="004E07FC">
        <w:t>Disciplinary Process</w:t>
      </w:r>
    </w:p>
    <w:p w14:paraId="5D14118D" w14:textId="77777777" w:rsidR="000E6045" w:rsidRDefault="000E6045" w:rsidP="00D04896">
      <w:pPr>
        <w:rPr>
          <w:b/>
          <w:bCs/>
          <w:sz w:val="24"/>
          <w:szCs w:val="24"/>
        </w:rPr>
      </w:pPr>
    </w:p>
    <w:p w14:paraId="2176120F" w14:textId="0A6F4638" w:rsidR="004E07FC" w:rsidRDefault="003B7E13" w:rsidP="00D048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 I appeal against the out</w:t>
      </w:r>
      <w:r w:rsidR="000C08C7">
        <w:rPr>
          <w:b/>
          <w:bCs/>
          <w:sz w:val="24"/>
          <w:szCs w:val="24"/>
        </w:rPr>
        <w:t>come of an investigation?</w:t>
      </w:r>
    </w:p>
    <w:p w14:paraId="3B857892" w14:textId="79232F03" w:rsidR="000C08C7" w:rsidRDefault="000C08C7" w:rsidP="00D04896">
      <w:r>
        <w:t xml:space="preserve">All students have the right of appeal.  </w:t>
      </w:r>
      <w:r w:rsidR="00A307A5">
        <w:t xml:space="preserve">  Details on how to appeal are included in the letter </w:t>
      </w:r>
      <w:r w:rsidR="00007D4A">
        <w:t>you will</w:t>
      </w:r>
      <w:r w:rsidR="00A307A5">
        <w:t xml:space="preserve"> receive following an</w:t>
      </w:r>
      <w:r w:rsidR="000E149C">
        <w:t>y investigation.</w:t>
      </w:r>
      <w:r w:rsidR="7A75F37D">
        <w:t xml:space="preserve"> </w:t>
      </w:r>
    </w:p>
    <w:p w14:paraId="3B726482" w14:textId="77777777" w:rsidR="000E149C" w:rsidRPr="000E149C" w:rsidRDefault="000E149C" w:rsidP="00D04896"/>
    <w:p w14:paraId="645B590E" w14:textId="5D8BF3C7" w:rsidR="00E72596" w:rsidRPr="00890621" w:rsidRDefault="00E72596" w:rsidP="00D04896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 xml:space="preserve">Would someone be moved </w:t>
      </w:r>
      <w:r w:rsidR="002344B6" w:rsidRPr="00890621">
        <w:rPr>
          <w:b/>
          <w:bCs/>
          <w:sz w:val="24"/>
          <w:szCs w:val="24"/>
        </w:rPr>
        <w:t>during an investigation</w:t>
      </w:r>
      <w:r w:rsidRPr="00890621">
        <w:rPr>
          <w:b/>
          <w:bCs/>
          <w:sz w:val="24"/>
          <w:szCs w:val="24"/>
        </w:rPr>
        <w:t>?</w:t>
      </w:r>
    </w:p>
    <w:p w14:paraId="619C9D1F" w14:textId="447A6576" w:rsidR="00E72596" w:rsidRDefault="671A442C" w:rsidP="00D04896">
      <w:r>
        <w:t xml:space="preserve"> </w:t>
      </w:r>
      <w:r w:rsidR="002344B6">
        <w:t>As</w:t>
      </w:r>
      <w:r w:rsidR="00E72596">
        <w:t xml:space="preserve"> part of the investigation process, an individual may be temporarily moved to alternative accommodation.  This would be as a result of a risk assessment that considered the following</w:t>
      </w:r>
    </w:p>
    <w:p w14:paraId="1A76D332" w14:textId="1439837E" w:rsidR="00E72596" w:rsidRDefault="002344B6" w:rsidP="002344B6">
      <w:pPr>
        <w:pStyle w:val="ListParagraph"/>
        <w:numPr>
          <w:ilvl w:val="0"/>
          <w:numId w:val="5"/>
        </w:numPr>
      </w:pPr>
      <w:r>
        <w:t>Reoccurrence</w:t>
      </w:r>
      <w:r w:rsidR="00E72596">
        <w:t xml:space="preserve"> of unacceptable conduct</w:t>
      </w:r>
      <w:r w:rsidR="4361E4A2">
        <w:t>;</w:t>
      </w:r>
    </w:p>
    <w:p w14:paraId="1F252948" w14:textId="3F6670C0" w:rsidR="00E72596" w:rsidRDefault="00E72596" w:rsidP="002344B6">
      <w:pPr>
        <w:pStyle w:val="ListParagraph"/>
        <w:numPr>
          <w:ilvl w:val="0"/>
          <w:numId w:val="5"/>
        </w:numPr>
      </w:pPr>
      <w:r>
        <w:t>Potential that an individual could be harmed</w:t>
      </w:r>
      <w:r w:rsidR="7201EB15">
        <w:t>;</w:t>
      </w:r>
    </w:p>
    <w:p w14:paraId="2C939A86" w14:textId="2081C17B" w:rsidR="00E72596" w:rsidRDefault="002344B6" w:rsidP="002344B6">
      <w:pPr>
        <w:pStyle w:val="ListParagraph"/>
        <w:numPr>
          <w:ilvl w:val="0"/>
          <w:numId w:val="5"/>
        </w:numPr>
      </w:pPr>
      <w:r>
        <w:t>If d</w:t>
      </w:r>
      <w:r w:rsidR="00E72596">
        <w:t>ue process would be inhibited or impeded</w:t>
      </w:r>
      <w:r w:rsidR="64EA5887">
        <w:t>.</w:t>
      </w:r>
      <w:r w:rsidR="00E72596">
        <w:t xml:space="preserve"> </w:t>
      </w:r>
    </w:p>
    <w:p w14:paraId="13E70526" w14:textId="37DF40DA" w:rsidR="000E6045" w:rsidRDefault="002344B6" w:rsidP="00D04896">
      <w:r>
        <w:lastRenderedPageBreak/>
        <w:t xml:space="preserve">If it is determined that the risk level is high and no alternative measures can be put in place to mitigate the risk, a move would be enforced.  This is a precautionary rather than punitive measure </w:t>
      </w:r>
      <w:r w:rsidR="000E149C">
        <w:t>an</w:t>
      </w:r>
      <w:r w:rsidR="007D5583">
        <w:t>d is intended to support and protect all those involved.</w:t>
      </w:r>
      <w:r w:rsidR="229C876F">
        <w:t xml:space="preserve"> Only the University Disciplinary Officer can sanction a move to alternative accommodation under Provisional Action. </w:t>
      </w:r>
    </w:p>
    <w:p w14:paraId="0F5F3716" w14:textId="77777777" w:rsidR="007D5583" w:rsidRPr="007D5583" w:rsidRDefault="007D5583" w:rsidP="00D04896"/>
    <w:p w14:paraId="381A7F7E" w14:textId="64AB1F92" w:rsidR="002344B6" w:rsidRPr="00890621" w:rsidRDefault="002344B6" w:rsidP="00D04896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Would someone be moved after an investigation?</w:t>
      </w:r>
    </w:p>
    <w:p w14:paraId="3B010C03" w14:textId="6B2112D8" w:rsidR="00895D10" w:rsidRDefault="002344B6" w:rsidP="00D04896">
      <w:r>
        <w:t>If it is deemed in the best interest of all parties, then a permanent room move may be enforced</w:t>
      </w:r>
      <w:r w:rsidR="4CD34D29">
        <w:t xml:space="preserve"> as a condition of the Disciplinary </w:t>
      </w:r>
      <w:proofErr w:type="gramStart"/>
      <w:r w:rsidR="4CD34D29">
        <w:t>outcome</w:t>
      </w:r>
      <w:r>
        <w:t xml:space="preserve">  This</w:t>
      </w:r>
      <w:proofErr w:type="gramEnd"/>
      <w:r>
        <w:t xml:space="preserve"> decision is not taken lightly as any action needs to be proportionate to the breach of agreement that has taken place.</w:t>
      </w:r>
    </w:p>
    <w:p w14:paraId="668B8A1F" w14:textId="726ECBD2" w:rsidR="002344B6" w:rsidRDefault="002344B6" w:rsidP="002344B6"/>
    <w:p w14:paraId="1F8E3CF7" w14:textId="6C89B2A2" w:rsidR="002344B6" w:rsidRPr="00890621" w:rsidRDefault="002344B6" w:rsidP="002344B6">
      <w:pPr>
        <w:rPr>
          <w:b/>
          <w:bCs/>
          <w:sz w:val="24"/>
          <w:szCs w:val="24"/>
        </w:rPr>
      </w:pPr>
      <w:r w:rsidRPr="00890621">
        <w:rPr>
          <w:b/>
          <w:bCs/>
          <w:sz w:val="24"/>
          <w:szCs w:val="24"/>
        </w:rPr>
        <w:t>What help and support is available to me?</w:t>
      </w:r>
    </w:p>
    <w:p w14:paraId="4416F981" w14:textId="77777777" w:rsidR="00E930DE" w:rsidRDefault="008A0AA1" w:rsidP="002344B6">
      <w:r>
        <w:t xml:space="preserve">Support </w:t>
      </w:r>
      <w:r w:rsidR="00E930DE">
        <w:t xml:space="preserve">and advice </w:t>
      </w:r>
      <w:r>
        <w:t xml:space="preserve">can be obtained from </w:t>
      </w:r>
    </w:p>
    <w:p w14:paraId="1F0C9227" w14:textId="20C9CE05" w:rsidR="00E930DE" w:rsidRDefault="00E930DE" w:rsidP="002344B6">
      <w:r>
        <w:t>T</w:t>
      </w:r>
      <w:r w:rsidR="00A43FD2">
        <w:t>he Wellbeing Team</w:t>
      </w:r>
      <w:r w:rsidR="00E80070">
        <w:tab/>
      </w:r>
      <w:r w:rsidR="00E80070">
        <w:tab/>
      </w:r>
      <w:hyperlink r:id="rId15" w:history="1">
        <w:r w:rsidR="00E80070" w:rsidRPr="004E1970">
          <w:rPr>
            <w:rStyle w:val="Hyperlink"/>
          </w:rPr>
          <w:t>https://www.yorksj.ac.uk/health-and-wellbeing/wellbeing-support/</w:t>
        </w:r>
      </w:hyperlink>
    </w:p>
    <w:p w14:paraId="33456678" w14:textId="47635C7E" w:rsidR="00FC487B" w:rsidRDefault="00E930DE" w:rsidP="002344B6">
      <w:r>
        <w:t>T</w:t>
      </w:r>
      <w:r w:rsidR="00A43FD2">
        <w:t>he Students’ Union</w:t>
      </w:r>
      <w:r w:rsidR="003E3726">
        <w:tab/>
      </w:r>
      <w:r w:rsidR="003E3726">
        <w:tab/>
      </w:r>
      <w:hyperlink r:id="rId16" w:history="1">
        <w:r w:rsidR="003E3726" w:rsidRPr="004E1970">
          <w:rPr>
            <w:rStyle w:val="Hyperlink"/>
          </w:rPr>
          <w:t>https://ysjsu.com/Home</w:t>
        </w:r>
      </w:hyperlink>
    </w:p>
    <w:p w14:paraId="20C17018" w14:textId="6E221A7C" w:rsidR="008A0AA1" w:rsidRDefault="00FC487B" w:rsidP="002344B6">
      <w:r>
        <w:t xml:space="preserve">The </w:t>
      </w:r>
      <w:r w:rsidR="00A43FD2">
        <w:t>Accommodation team</w:t>
      </w:r>
      <w:r>
        <w:tab/>
      </w:r>
      <w:r w:rsidR="003E3726">
        <w:t>em</w:t>
      </w:r>
      <w:r w:rsidR="00B1437F">
        <w:t xml:space="preserve">ail: </w:t>
      </w:r>
      <w:hyperlink r:id="rId17">
        <w:r w:rsidR="00B1437F" w:rsidRPr="7DCAD639">
          <w:rPr>
            <w:rStyle w:val="Hyperlink"/>
          </w:rPr>
          <w:t>accommodation@yorksj.ac.uk</w:t>
        </w:r>
      </w:hyperlink>
    </w:p>
    <w:p w14:paraId="0A2024FE" w14:textId="007F1944" w:rsidR="061E856B" w:rsidRDefault="00007D4A" w:rsidP="7DCAD639">
      <w:r>
        <w:t>Casework email</w:t>
      </w:r>
      <w:r w:rsidR="061E856B">
        <w:t>: casework@Yorksj.ac.uk</w:t>
      </w:r>
    </w:p>
    <w:p w14:paraId="46D0A618" w14:textId="52AD67A9" w:rsidR="061E856B" w:rsidRDefault="061E856B" w:rsidP="7DCAD639">
      <w:r>
        <w:t xml:space="preserve">Concerns and complaints - </w:t>
      </w:r>
      <w:hyperlink r:id="rId18" w:history="1">
        <w:r w:rsidRPr="7DCAD639">
          <w:rPr>
            <w:rStyle w:val="Hyperlink"/>
          </w:rPr>
          <w:t>https://www.yorksj.ac.uk/students/concerns-and-complaints/</w:t>
        </w:r>
      </w:hyperlink>
      <w:r>
        <w:t xml:space="preserve"> </w:t>
      </w:r>
    </w:p>
    <w:p w14:paraId="5AB92022" w14:textId="77777777" w:rsidR="00B1437F" w:rsidRPr="008A0AA1" w:rsidRDefault="00B1437F" w:rsidP="002344B6"/>
    <w:sectPr w:rsidR="00B1437F" w:rsidRPr="008A0AA1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37A4" w14:textId="77777777" w:rsidR="0053206A" w:rsidRDefault="0053206A" w:rsidP="00E83A2F">
      <w:pPr>
        <w:spacing w:after="0" w:line="240" w:lineRule="auto"/>
      </w:pPr>
      <w:r>
        <w:separator/>
      </w:r>
    </w:p>
  </w:endnote>
  <w:endnote w:type="continuationSeparator" w:id="0">
    <w:p w14:paraId="3059B44D" w14:textId="77777777" w:rsidR="0053206A" w:rsidRDefault="0053206A" w:rsidP="00E8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22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78D8D" w14:textId="1343F41E" w:rsidR="002C274A" w:rsidRDefault="002C27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C80F2" w14:textId="77777777" w:rsidR="00E83A2F" w:rsidRDefault="00E8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F568" w14:textId="77777777" w:rsidR="0053206A" w:rsidRDefault="0053206A" w:rsidP="00E83A2F">
      <w:pPr>
        <w:spacing w:after="0" w:line="240" w:lineRule="auto"/>
      </w:pPr>
      <w:r>
        <w:separator/>
      </w:r>
    </w:p>
  </w:footnote>
  <w:footnote w:type="continuationSeparator" w:id="0">
    <w:p w14:paraId="0D595DA8" w14:textId="77777777" w:rsidR="0053206A" w:rsidRDefault="0053206A" w:rsidP="00E8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2636"/>
    <w:multiLevelType w:val="hybridMultilevel"/>
    <w:tmpl w:val="57AC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0C0"/>
    <w:multiLevelType w:val="hybridMultilevel"/>
    <w:tmpl w:val="372A9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6C3C"/>
    <w:multiLevelType w:val="hybridMultilevel"/>
    <w:tmpl w:val="F7F2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4FEE"/>
    <w:multiLevelType w:val="hybridMultilevel"/>
    <w:tmpl w:val="522C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955"/>
    <w:multiLevelType w:val="hybridMultilevel"/>
    <w:tmpl w:val="2BA2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4FB"/>
    <w:multiLevelType w:val="hybridMultilevel"/>
    <w:tmpl w:val="C2E4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7F00"/>
    <w:multiLevelType w:val="hybridMultilevel"/>
    <w:tmpl w:val="FA0E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922"/>
    <w:multiLevelType w:val="hybridMultilevel"/>
    <w:tmpl w:val="21C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C6801"/>
    <w:multiLevelType w:val="hybridMultilevel"/>
    <w:tmpl w:val="83A8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56"/>
    <w:rsid w:val="00007D4A"/>
    <w:rsid w:val="00054B35"/>
    <w:rsid w:val="00097CEB"/>
    <w:rsid w:val="000C08C7"/>
    <w:rsid w:val="000C6B56"/>
    <w:rsid w:val="000E149C"/>
    <w:rsid w:val="000E6045"/>
    <w:rsid w:val="000F5D74"/>
    <w:rsid w:val="001003E1"/>
    <w:rsid w:val="00150EB9"/>
    <w:rsid w:val="001E170E"/>
    <w:rsid w:val="001E3CE9"/>
    <w:rsid w:val="00217EB5"/>
    <w:rsid w:val="002344B6"/>
    <w:rsid w:val="00296330"/>
    <w:rsid w:val="002C274A"/>
    <w:rsid w:val="002E7C63"/>
    <w:rsid w:val="0030012F"/>
    <w:rsid w:val="00382FAB"/>
    <w:rsid w:val="003B7E13"/>
    <w:rsid w:val="003E3726"/>
    <w:rsid w:val="003E4D69"/>
    <w:rsid w:val="004078D8"/>
    <w:rsid w:val="00453F6C"/>
    <w:rsid w:val="00467951"/>
    <w:rsid w:val="004914C1"/>
    <w:rsid w:val="004B202F"/>
    <w:rsid w:val="004E07FC"/>
    <w:rsid w:val="0052624A"/>
    <w:rsid w:val="0053206A"/>
    <w:rsid w:val="005D3FF8"/>
    <w:rsid w:val="005E47B7"/>
    <w:rsid w:val="00605976"/>
    <w:rsid w:val="00625810"/>
    <w:rsid w:val="00626C86"/>
    <w:rsid w:val="00713777"/>
    <w:rsid w:val="007B7A76"/>
    <w:rsid w:val="007D5583"/>
    <w:rsid w:val="00800E1E"/>
    <w:rsid w:val="008671FA"/>
    <w:rsid w:val="00867DF7"/>
    <w:rsid w:val="00890621"/>
    <w:rsid w:val="00895D10"/>
    <w:rsid w:val="008A0AA1"/>
    <w:rsid w:val="008E6379"/>
    <w:rsid w:val="009467BB"/>
    <w:rsid w:val="00951635"/>
    <w:rsid w:val="0095569C"/>
    <w:rsid w:val="009B0B22"/>
    <w:rsid w:val="00A307A5"/>
    <w:rsid w:val="00A43FD2"/>
    <w:rsid w:val="00A76432"/>
    <w:rsid w:val="00B04DD9"/>
    <w:rsid w:val="00B1437F"/>
    <w:rsid w:val="00B21C9E"/>
    <w:rsid w:val="00B77579"/>
    <w:rsid w:val="00B81D37"/>
    <w:rsid w:val="00BB31D0"/>
    <w:rsid w:val="00BC1E17"/>
    <w:rsid w:val="00BD507B"/>
    <w:rsid w:val="00C009F2"/>
    <w:rsid w:val="00C07481"/>
    <w:rsid w:val="00D04896"/>
    <w:rsid w:val="00D6196C"/>
    <w:rsid w:val="00D76B61"/>
    <w:rsid w:val="00DF0AEC"/>
    <w:rsid w:val="00E049F4"/>
    <w:rsid w:val="00E57BBE"/>
    <w:rsid w:val="00E72596"/>
    <w:rsid w:val="00E80070"/>
    <w:rsid w:val="00E83A2F"/>
    <w:rsid w:val="00E9102B"/>
    <w:rsid w:val="00E930DE"/>
    <w:rsid w:val="00EB18AA"/>
    <w:rsid w:val="00EF4445"/>
    <w:rsid w:val="00F25DD1"/>
    <w:rsid w:val="00F33010"/>
    <w:rsid w:val="00F91321"/>
    <w:rsid w:val="00FC487B"/>
    <w:rsid w:val="00FC7CE4"/>
    <w:rsid w:val="034C3CAB"/>
    <w:rsid w:val="03770AB5"/>
    <w:rsid w:val="04256172"/>
    <w:rsid w:val="0438CD4F"/>
    <w:rsid w:val="061E856B"/>
    <w:rsid w:val="062C2DC6"/>
    <w:rsid w:val="06740B1D"/>
    <w:rsid w:val="06F74354"/>
    <w:rsid w:val="07C3D6F6"/>
    <w:rsid w:val="07E96200"/>
    <w:rsid w:val="0873EFDB"/>
    <w:rsid w:val="08D7E3EF"/>
    <w:rsid w:val="090C704E"/>
    <w:rsid w:val="098EB0F5"/>
    <w:rsid w:val="0AEECB35"/>
    <w:rsid w:val="0BAE579A"/>
    <w:rsid w:val="0C441110"/>
    <w:rsid w:val="0C9D101F"/>
    <w:rsid w:val="0D963F0A"/>
    <w:rsid w:val="0EDA863F"/>
    <w:rsid w:val="0EEFFE87"/>
    <w:rsid w:val="0F8ECD29"/>
    <w:rsid w:val="10C84C6C"/>
    <w:rsid w:val="11994B66"/>
    <w:rsid w:val="137AE9C8"/>
    <w:rsid w:val="167A3E09"/>
    <w:rsid w:val="17C52F18"/>
    <w:rsid w:val="18AB992A"/>
    <w:rsid w:val="1AD89DDE"/>
    <w:rsid w:val="1B261A12"/>
    <w:rsid w:val="1BCD1AF9"/>
    <w:rsid w:val="1C494273"/>
    <w:rsid w:val="1D80A383"/>
    <w:rsid w:val="1F004A78"/>
    <w:rsid w:val="20C73145"/>
    <w:rsid w:val="21234F99"/>
    <w:rsid w:val="229C876F"/>
    <w:rsid w:val="247321E4"/>
    <w:rsid w:val="2648DB58"/>
    <w:rsid w:val="27838042"/>
    <w:rsid w:val="290DBD60"/>
    <w:rsid w:val="29D5C42C"/>
    <w:rsid w:val="2C48FACF"/>
    <w:rsid w:val="2EBE42FA"/>
    <w:rsid w:val="33D09B98"/>
    <w:rsid w:val="3752C215"/>
    <w:rsid w:val="37795E43"/>
    <w:rsid w:val="383E9782"/>
    <w:rsid w:val="39510729"/>
    <w:rsid w:val="3EF83833"/>
    <w:rsid w:val="3F29D35C"/>
    <w:rsid w:val="3F348217"/>
    <w:rsid w:val="407B4859"/>
    <w:rsid w:val="40E74502"/>
    <w:rsid w:val="40F9A45B"/>
    <w:rsid w:val="4272E8B9"/>
    <w:rsid w:val="4361E4A2"/>
    <w:rsid w:val="44553192"/>
    <w:rsid w:val="4518F04E"/>
    <w:rsid w:val="49D76350"/>
    <w:rsid w:val="4A83C7AD"/>
    <w:rsid w:val="4AC7AC20"/>
    <w:rsid w:val="4B77755C"/>
    <w:rsid w:val="4CD34D29"/>
    <w:rsid w:val="4E62F613"/>
    <w:rsid w:val="4F18955C"/>
    <w:rsid w:val="4F8F6D10"/>
    <w:rsid w:val="503C1DD1"/>
    <w:rsid w:val="5290589E"/>
    <w:rsid w:val="52F9F16F"/>
    <w:rsid w:val="53DD2F01"/>
    <w:rsid w:val="57507E5B"/>
    <w:rsid w:val="58B9937F"/>
    <w:rsid w:val="59D2E89D"/>
    <w:rsid w:val="59DC4C43"/>
    <w:rsid w:val="5D13ED05"/>
    <w:rsid w:val="5FE20F7E"/>
    <w:rsid w:val="604B8DC7"/>
    <w:rsid w:val="64EA5887"/>
    <w:rsid w:val="655F4CC6"/>
    <w:rsid w:val="65C473C0"/>
    <w:rsid w:val="665C6385"/>
    <w:rsid w:val="66FB1D27"/>
    <w:rsid w:val="671A442C"/>
    <w:rsid w:val="68C79659"/>
    <w:rsid w:val="6AD203A2"/>
    <w:rsid w:val="6B8F8BA8"/>
    <w:rsid w:val="6C3B6202"/>
    <w:rsid w:val="6C47AA9E"/>
    <w:rsid w:val="6E74CFA7"/>
    <w:rsid w:val="6F16A560"/>
    <w:rsid w:val="7070681B"/>
    <w:rsid w:val="71AC7069"/>
    <w:rsid w:val="7201EB15"/>
    <w:rsid w:val="720C387C"/>
    <w:rsid w:val="720F785B"/>
    <w:rsid w:val="73080071"/>
    <w:rsid w:val="755C6A23"/>
    <w:rsid w:val="76D8E09B"/>
    <w:rsid w:val="77192E77"/>
    <w:rsid w:val="7793AABA"/>
    <w:rsid w:val="7987ABE8"/>
    <w:rsid w:val="79CDA918"/>
    <w:rsid w:val="7A75F37D"/>
    <w:rsid w:val="7A7630F9"/>
    <w:rsid w:val="7BAC51BE"/>
    <w:rsid w:val="7CC690DC"/>
    <w:rsid w:val="7D387AB5"/>
    <w:rsid w:val="7D48221F"/>
    <w:rsid w:val="7DCAD639"/>
    <w:rsid w:val="7E55F06A"/>
    <w:rsid w:val="7EFD73C7"/>
    <w:rsid w:val="7F0A3CD5"/>
    <w:rsid w:val="7F0B17FF"/>
    <w:rsid w:val="7F1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3FBC"/>
  <w15:chartTrackingRefBased/>
  <w15:docId w15:val="{3F1194D6-A3D9-4AD8-9768-45AA584A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A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90621"/>
    <w:pPr>
      <w:spacing w:line="181" w:lineRule="atLeast"/>
    </w:pPr>
    <w:rPr>
      <w:rFonts w:ascii="Theinhardt" w:hAnsi="Theinhard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2F"/>
  </w:style>
  <w:style w:type="paragraph" w:styleId="Footer">
    <w:name w:val="footer"/>
    <w:basedOn w:val="Normal"/>
    <w:link w:val="FooterChar"/>
    <w:uiPriority w:val="99"/>
    <w:unhideWhenUsed/>
    <w:rsid w:val="00E8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2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82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rksj.ac.uk/students/concerns-and-complaints/concerns-about-student-behaviour/" TargetMode="External"/><Relationship Id="rId18" Type="http://schemas.openxmlformats.org/officeDocument/2006/relationships/hyperlink" Target="https://www.yorksj.ac.uk/students/concerns-and-complaint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sework@yorksj.ac.uk" TargetMode="External"/><Relationship Id="rId17" Type="http://schemas.openxmlformats.org/officeDocument/2006/relationships/hyperlink" Target="mailto:accommodation@yorksj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sjsu.com/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rksj.ac.uk/health-and-wellbeing/wellbeing-suppor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rksj.ac.uk/media/content-assets/university-secretary-office/documents/ssr/Student-Disciplinary-Policy-and-Procedure-23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04a04-164f-4630-b2d0-d6ba8c52e1f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927D9CDF4A4BBD82C5AFAA7E128C" ma:contentTypeVersion="13" ma:contentTypeDescription="Create a new document." ma:contentTypeScope="" ma:versionID="939f1db8588e5373c1a8561b1c5f115d">
  <xsd:schema xmlns:xsd="http://www.w3.org/2001/XMLSchema" xmlns:xs="http://www.w3.org/2001/XMLSchema" xmlns:p="http://schemas.microsoft.com/office/2006/metadata/properties" xmlns:ns2="2d204a04-164f-4630-b2d0-d6ba8c52e1f6" xmlns:ns3="23ca07d7-d20a-4309-ac96-f807d90e09a5" targetNamespace="http://schemas.microsoft.com/office/2006/metadata/properties" ma:root="true" ma:fieldsID="8c9d0839bcf31e8a9e8f5f74e9dbab99" ns2:_="" ns3:_="">
    <xsd:import namespace="2d204a04-164f-4630-b2d0-d6ba8c52e1f6"/>
    <xsd:import namespace="23ca07d7-d20a-4309-ac96-f807d90e0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4a04-164f-4630-b2d0-d6ba8c52e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07d7-d20a-4309-ac96-f807d90e0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A2DE9-8026-47FB-97E0-EF45C08E5ADE}">
  <ds:schemaRefs>
    <ds:schemaRef ds:uri="http://schemas.microsoft.com/office/2006/metadata/properties"/>
    <ds:schemaRef ds:uri="http://schemas.microsoft.com/office/infopath/2007/PartnerControls"/>
    <ds:schemaRef ds:uri="2d204a04-164f-4630-b2d0-d6ba8c52e1f6"/>
  </ds:schemaRefs>
</ds:datastoreItem>
</file>

<file path=customXml/itemProps2.xml><?xml version="1.0" encoding="utf-8"?>
<ds:datastoreItem xmlns:ds="http://schemas.openxmlformats.org/officeDocument/2006/customXml" ds:itemID="{7D8CC06E-7687-41A2-8DD7-234F0F6E7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01690-E3B0-481F-B000-F0A8A47C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04a04-164f-4630-b2d0-d6ba8c52e1f6"/>
    <ds:schemaRef ds:uri="23ca07d7-d20a-4309-ac96-f807d90e0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4C0D8-AA7E-460E-BF5C-B6920F0A6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Waller (S.WALLER)</dc:creator>
  <cp:keywords/>
  <dc:description/>
  <cp:lastModifiedBy>Hannah Mitchell</cp:lastModifiedBy>
  <cp:revision>3</cp:revision>
  <dcterms:created xsi:type="dcterms:W3CDTF">2024-03-28T14:39:00Z</dcterms:created>
  <dcterms:modified xsi:type="dcterms:W3CDTF">2024-03-28T14:45:00Z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0x010100DAE9927D9CDF4A4BBD82C5AFAA7E128C</vt:lpwstr>
  </property>
  <property fmtid="{D5CDD505-2E9C-101B-9397-08002B2CF9AE}" pid="3" name="MediaServiceImageTags">
    <vt:lpwstr/>
  </property>
</Properties>
</file>