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262D" w14:textId="2E5D77B8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209E1BE" wp14:editId="5B32290B">
            <wp:simplePos x="0" y="0"/>
            <wp:positionH relativeFrom="column">
              <wp:posOffset>4438650</wp:posOffset>
            </wp:positionH>
            <wp:positionV relativeFrom="paragraph">
              <wp:posOffset>-666750</wp:posOffset>
            </wp:positionV>
            <wp:extent cx="2072579" cy="8763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57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963F1" w14:textId="77777777" w:rsidR="00761FCC" w:rsidRPr="00761FCC" w:rsidRDefault="00761FCC" w:rsidP="00761FCC">
      <w:pPr>
        <w:pBdr>
          <w:left w:val="single" w:sz="4" w:space="4" w:color="auto"/>
        </w:pBdr>
        <w:tabs>
          <w:tab w:val="clear" w:pos="4513"/>
          <w:tab w:val="clear" w:pos="9026"/>
        </w:tabs>
        <w:spacing w:before="40"/>
        <w:ind w:left="142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761FCC">
        <w:rPr>
          <w:rFonts w:eastAsia="Times New Roman" w:cs="Times New Roman"/>
          <w:b/>
          <w:bCs/>
          <w:sz w:val="28"/>
          <w:szCs w:val="28"/>
        </w:rPr>
        <w:t>Principles of Assessment</w:t>
      </w:r>
    </w:p>
    <w:p w14:paraId="576BD4FD" w14:textId="77777777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77446628" w14:textId="5E7B10AE" w:rsidR="002B35C0" w:rsidRDefault="002B35C0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The University is built upon principles of widening participation and social justice, and it is on these foundations that our approach to assessment is based. </w:t>
      </w:r>
      <w:r w:rsidR="00B63F86">
        <w:rPr>
          <w:rFonts w:eastAsia="Times New Roman" w:cs="Times New Roman"/>
          <w:bCs/>
          <w:sz w:val="20"/>
          <w:szCs w:val="20"/>
        </w:rPr>
        <w:t>We support our students to be</w:t>
      </w:r>
      <w:r>
        <w:rPr>
          <w:rFonts w:eastAsia="Times New Roman" w:cs="Times New Roman"/>
          <w:bCs/>
          <w:sz w:val="20"/>
          <w:szCs w:val="20"/>
        </w:rPr>
        <w:t xml:space="preserve"> actively engaged in their own learning, and our approach </w:t>
      </w:r>
      <w:r w:rsidR="00C544DB">
        <w:rPr>
          <w:rFonts w:eastAsia="Times New Roman" w:cs="Times New Roman"/>
          <w:bCs/>
          <w:sz w:val="20"/>
          <w:szCs w:val="20"/>
        </w:rPr>
        <w:t xml:space="preserve">is to remove barriers and to be transparent. We </w:t>
      </w:r>
      <w:r w:rsidR="00B63F86">
        <w:rPr>
          <w:rFonts w:eastAsia="Times New Roman" w:cs="Times New Roman"/>
          <w:bCs/>
          <w:sz w:val="20"/>
          <w:szCs w:val="20"/>
        </w:rPr>
        <w:t>work with our students to improve their</w:t>
      </w:r>
      <w:r w:rsidR="00C544DB">
        <w:rPr>
          <w:rFonts w:eastAsia="Times New Roman" w:cs="Times New Roman"/>
          <w:bCs/>
          <w:sz w:val="20"/>
          <w:szCs w:val="20"/>
        </w:rPr>
        <w:t xml:space="preserve"> assessment literacy, so they understand the purpose of assessment and against what standards they are being assessed. Our programmes develop students who are independent and ready for the workplace</w:t>
      </w:r>
      <w:r w:rsidR="00B63F86">
        <w:rPr>
          <w:rFonts w:eastAsia="Times New Roman" w:cs="Times New Roman"/>
          <w:bCs/>
          <w:sz w:val="20"/>
          <w:szCs w:val="20"/>
        </w:rPr>
        <w:t xml:space="preserve"> through our use of authentic assessment</w:t>
      </w:r>
      <w:r w:rsidR="00C544DB">
        <w:rPr>
          <w:rFonts w:eastAsia="Times New Roman" w:cs="Times New Roman"/>
          <w:bCs/>
          <w:sz w:val="20"/>
          <w:szCs w:val="20"/>
        </w:rPr>
        <w:t xml:space="preserve">. </w:t>
      </w:r>
    </w:p>
    <w:p w14:paraId="7D196441" w14:textId="77777777" w:rsidR="002B35C0" w:rsidRDefault="002B35C0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03423147" w14:textId="0F5F7120" w:rsidR="000405FF" w:rsidRPr="000405FF" w:rsidRDefault="00B63F86" w:rsidP="000405FF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This </w:t>
      </w:r>
      <w:r w:rsidR="000405FF">
        <w:rPr>
          <w:rFonts w:eastAsia="Times New Roman" w:cs="Times New Roman"/>
          <w:bCs/>
          <w:sz w:val="20"/>
          <w:szCs w:val="20"/>
        </w:rPr>
        <w:t xml:space="preserve">overarching view of assessment </w:t>
      </w:r>
      <w:r>
        <w:rPr>
          <w:rFonts w:eastAsia="Times New Roman" w:cs="Times New Roman"/>
          <w:bCs/>
          <w:sz w:val="20"/>
          <w:szCs w:val="20"/>
        </w:rPr>
        <w:t xml:space="preserve">has informed </w:t>
      </w:r>
      <w:r w:rsidR="000405FF">
        <w:rPr>
          <w:rFonts w:eastAsia="Times New Roman" w:cs="Times New Roman"/>
          <w:bCs/>
          <w:sz w:val="20"/>
          <w:szCs w:val="20"/>
        </w:rPr>
        <w:t xml:space="preserve">our principles of assessment, which </w:t>
      </w:r>
      <w:r>
        <w:rPr>
          <w:rFonts w:eastAsia="Times New Roman" w:cs="Times New Roman"/>
          <w:bCs/>
          <w:sz w:val="20"/>
          <w:szCs w:val="20"/>
        </w:rPr>
        <w:t>are key considerations in the</w:t>
      </w:r>
      <w:r w:rsidR="009A639F">
        <w:rPr>
          <w:rFonts w:eastAsia="Times New Roman" w:cs="Times New Roman"/>
          <w:bCs/>
          <w:sz w:val="20"/>
          <w:szCs w:val="20"/>
        </w:rPr>
        <w:t xml:space="preserve"> development of new programmes and the way students are assessed at the University. </w:t>
      </w:r>
    </w:p>
    <w:p w14:paraId="71F05474" w14:textId="61A43CBC" w:rsid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37302D62" w14:textId="125152E9" w:rsidR="00C544DB" w:rsidRPr="00761FCC" w:rsidRDefault="00E35017" w:rsidP="00C544DB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C66280">
        <w:rPr>
          <w:rFonts w:eastAsia="Times New Roman" w:cs="Times New Roman"/>
          <w:b/>
          <w:sz w:val="24"/>
          <w:szCs w:val="24"/>
        </w:rPr>
        <w:t>Learning and assessment should be integrated and fully aligned</w:t>
      </w:r>
      <w:r w:rsidR="00B63F86" w:rsidRPr="00C66280">
        <w:rPr>
          <w:rFonts w:eastAsia="Times New Roman" w:cs="Times New Roman"/>
          <w:b/>
          <w:sz w:val="24"/>
          <w:szCs w:val="24"/>
        </w:rPr>
        <w:t xml:space="preserve"> to learning outcomes</w:t>
      </w:r>
    </w:p>
    <w:p w14:paraId="4E49CA63" w14:textId="685F3B4F" w:rsidR="00C544DB" w:rsidRPr="00761FCC" w:rsidRDefault="00C544DB" w:rsidP="00C544DB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 xml:space="preserve">The design of assessment should </w:t>
      </w:r>
      <w:r w:rsidR="00B63F86">
        <w:rPr>
          <w:rFonts w:eastAsia="Times New Roman" w:cs="Times New Roman"/>
          <w:bCs/>
          <w:sz w:val="20"/>
          <w:szCs w:val="20"/>
        </w:rPr>
        <w:t xml:space="preserve">be aligned with the </w:t>
      </w:r>
      <w:r w:rsidRPr="00761FCC">
        <w:rPr>
          <w:rFonts w:eastAsia="Times New Roman" w:cs="Times New Roman"/>
          <w:bCs/>
          <w:sz w:val="20"/>
          <w:szCs w:val="20"/>
        </w:rPr>
        <w:t xml:space="preserve">design of the overall curriculum, </w:t>
      </w:r>
      <w:r w:rsidR="00B63F86">
        <w:rPr>
          <w:rFonts w:eastAsia="Times New Roman" w:cs="Times New Roman"/>
          <w:bCs/>
          <w:sz w:val="20"/>
          <w:szCs w:val="20"/>
        </w:rPr>
        <w:t>the</w:t>
      </w:r>
      <w:r w:rsidRPr="00761FCC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programme </w:t>
      </w:r>
      <w:r w:rsidRPr="00761FCC">
        <w:rPr>
          <w:rFonts w:eastAsia="Times New Roman" w:cs="Times New Roman"/>
          <w:bCs/>
          <w:sz w:val="20"/>
          <w:szCs w:val="20"/>
        </w:rPr>
        <w:t>aims and learning outcomes. Individual assessment strategies for modules should not be decided in isolation. Assessment should be considered holistically as part of the design process, to give a programme</w:t>
      </w:r>
      <w:r w:rsidR="00B63F86">
        <w:rPr>
          <w:rFonts w:eastAsia="Times New Roman" w:cs="Times New Roman"/>
          <w:bCs/>
          <w:sz w:val="20"/>
          <w:szCs w:val="20"/>
        </w:rPr>
        <w:t>-level</w:t>
      </w:r>
      <w:r w:rsidRPr="00761FCC">
        <w:rPr>
          <w:rFonts w:eastAsia="Times New Roman" w:cs="Times New Roman"/>
          <w:bCs/>
          <w:sz w:val="20"/>
          <w:szCs w:val="20"/>
        </w:rPr>
        <w:t xml:space="preserve"> view of assessment and scaffold learning across the different levels of study</w:t>
      </w:r>
      <w:r w:rsidR="00C66280">
        <w:rPr>
          <w:rFonts w:eastAsia="Times New Roman" w:cs="Times New Roman"/>
          <w:bCs/>
          <w:sz w:val="20"/>
          <w:szCs w:val="20"/>
        </w:rPr>
        <w:t>, as appropriate to the discipline</w:t>
      </w:r>
      <w:r w:rsidRPr="00761FCC">
        <w:rPr>
          <w:rFonts w:eastAsia="Times New Roman" w:cs="Times New Roman"/>
          <w:bCs/>
          <w:sz w:val="20"/>
          <w:szCs w:val="20"/>
        </w:rPr>
        <w:t>. Learning and assessment should be</w:t>
      </w:r>
      <w:r w:rsidR="00B63F86">
        <w:rPr>
          <w:rFonts w:eastAsia="Times New Roman" w:cs="Times New Roman"/>
          <w:bCs/>
          <w:sz w:val="20"/>
          <w:szCs w:val="20"/>
        </w:rPr>
        <w:t xml:space="preserve"> fully</w:t>
      </w:r>
      <w:r w:rsidRPr="00761FCC">
        <w:rPr>
          <w:rFonts w:eastAsia="Times New Roman" w:cs="Times New Roman"/>
          <w:bCs/>
          <w:sz w:val="20"/>
          <w:szCs w:val="20"/>
        </w:rPr>
        <w:t xml:space="preserve"> integrated and aligned. </w:t>
      </w:r>
    </w:p>
    <w:p w14:paraId="62F95EB8" w14:textId="6BA1AEA6" w:rsidR="00C544DB" w:rsidRPr="00761FCC" w:rsidRDefault="00C544DB" w:rsidP="00C544DB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 xml:space="preserve">Assessment forms should be varied </w:t>
      </w:r>
    </w:p>
    <w:p w14:paraId="13B39682" w14:textId="086A0096" w:rsidR="00C544DB" w:rsidRPr="00761FCC" w:rsidRDefault="00C544DB" w:rsidP="00C544DB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 xml:space="preserve">Assessment types that are appropriate </w:t>
      </w:r>
      <w:r>
        <w:rPr>
          <w:rFonts w:eastAsia="Times New Roman" w:cs="Times New Roman"/>
          <w:bCs/>
          <w:sz w:val="20"/>
          <w:szCs w:val="20"/>
        </w:rPr>
        <w:t>in demonstrating learning outcomes</w:t>
      </w:r>
      <w:r w:rsidRPr="00761FCC">
        <w:rPr>
          <w:rFonts w:eastAsia="Times New Roman" w:cs="Times New Roman"/>
          <w:bCs/>
          <w:sz w:val="20"/>
          <w:szCs w:val="20"/>
        </w:rPr>
        <w:t xml:space="preserve"> should be employed</w:t>
      </w:r>
      <w:r w:rsidR="00F123C7">
        <w:rPr>
          <w:rFonts w:eastAsia="Times New Roman" w:cs="Times New Roman"/>
          <w:bCs/>
          <w:sz w:val="20"/>
          <w:szCs w:val="20"/>
        </w:rPr>
        <w:t>.</w:t>
      </w:r>
      <w:r w:rsidRPr="00761FCC">
        <w:rPr>
          <w:rFonts w:eastAsia="Times New Roman" w:cs="Times New Roman"/>
          <w:bCs/>
          <w:sz w:val="20"/>
          <w:szCs w:val="20"/>
        </w:rPr>
        <w:t xml:space="preserve"> </w:t>
      </w:r>
      <w:r w:rsidR="00F123C7">
        <w:rPr>
          <w:rFonts w:eastAsia="Times New Roman" w:cs="Times New Roman"/>
          <w:bCs/>
          <w:sz w:val="20"/>
          <w:szCs w:val="20"/>
        </w:rPr>
        <w:t>W</w:t>
      </w:r>
      <w:r w:rsidRPr="00761FCC">
        <w:rPr>
          <w:rFonts w:eastAsia="Times New Roman" w:cs="Times New Roman"/>
          <w:bCs/>
          <w:sz w:val="20"/>
          <w:szCs w:val="20"/>
        </w:rPr>
        <w:t xml:space="preserve">here possible, different forms of assessment should be included in each programme to enable students to demonstrate their learning in a number of ways, </w:t>
      </w:r>
      <w:r w:rsidR="00B63F86">
        <w:rPr>
          <w:rFonts w:eastAsia="Times New Roman" w:cs="Times New Roman"/>
          <w:bCs/>
          <w:sz w:val="20"/>
          <w:szCs w:val="20"/>
        </w:rPr>
        <w:t xml:space="preserve">using contextualised </w:t>
      </w:r>
      <w:r w:rsidRPr="00761FCC">
        <w:rPr>
          <w:rFonts w:eastAsia="Times New Roman" w:cs="Times New Roman"/>
          <w:bCs/>
          <w:sz w:val="20"/>
          <w:szCs w:val="20"/>
        </w:rPr>
        <w:t xml:space="preserve">approaches </w:t>
      </w:r>
      <w:r w:rsidR="00B63F86">
        <w:rPr>
          <w:rFonts w:eastAsia="Times New Roman" w:cs="Times New Roman"/>
          <w:bCs/>
          <w:sz w:val="20"/>
          <w:szCs w:val="20"/>
        </w:rPr>
        <w:t xml:space="preserve">for </w:t>
      </w:r>
      <w:r w:rsidRPr="00761FCC">
        <w:rPr>
          <w:rFonts w:eastAsia="Times New Roman" w:cs="Times New Roman"/>
          <w:bCs/>
          <w:sz w:val="20"/>
          <w:szCs w:val="20"/>
        </w:rPr>
        <w:t xml:space="preserve">learning. Assessment should also be appropriate to the level of study and allow students to </w:t>
      </w:r>
      <w:r w:rsidR="00B63F86">
        <w:rPr>
          <w:rFonts w:eastAsia="Times New Roman" w:cs="Times New Roman"/>
          <w:bCs/>
          <w:sz w:val="20"/>
          <w:szCs w:val="20"/>
        </w:rPr>
        <w:t xml:space="preserve">demonstrate that they have </w:t>
      </w:r>
      <w:r w:rsidRPr="00761FCC">
        <w:rPr>
          <w:rFonts w:eastAsia="Times New Roman" w:cs="Times New Roman"/>
          <w:bCs/>
          <w:sz w:val="20"/>
          <w:szCs w:val="20"/>
        </w:rPr>
        <w:t>achieve</w:t>
      </w:r>
      <w:r w:rsidR="00B63F86">
        <w:rPr>
          <w:rFonts w:eastAsia="Times New Roman" w:cs="Times New Roman"/>
          <w:bCs/>
          <w:sz w:val="20"/>
          <w:szCs w:val="20"/>
        </w:rPr>
        <w:t>d</w:t>
      </w:r>
      <w:r w:rsidRPr="00761FCC">
        <w:rPr>
          <w:rFonts w:eastAsia="Times New Roman" w:cs="Times New Roman"/>
          <w:bCs/>
          <w:sz w:val="20"/>
          <w:szCs w:val="20"/>
        </w:rPr>
        <w:t xml:space="preserve"> the learning outcomes.</w:t>
      </w:r>
    </w:p>
    <w:p w14:paraId="28DB2590" w14:textId="4FD3E5C2" w:rsidR="00F123C7" w:rsidRPr="00761FCC" w:rsidRDefault="00F123C7" w:rsidP="00F123C7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Assessment should be</w:t>
      </w:r>
      <w:r w:rsidRPr="00761FCC">
        <w:rPr>
          <w:rFonts w:eastAsia="Times New Roman"/>
          <w:b/>
          <w:sz w:val="24"/>
          <w:szCs w:val="24"/>
        </w:rPr>
        <w:t xml:space="preserve"> authentic</w:t>
      </w:r>
    </w:p>
    <w:p w14:paraId="7A3CD003" w14:textId="7D4CDEF1" w:rsidR="00F123C7" w:rsidRPr="00761FCC" w:rsidRDefault="00D46E24" w:rsidP="00F123C7">
      <w:pPr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A</w:t>
      </w:r>
      <w:r w:rsidR="00F123C7" w:rsidRPr="00761FCC">
        <w:rPr>
          <w:rFonts w:eastAsia="Times New Roman" w:cs="Times New Roman"/>
          <w:bCs/>
          <w:sz w:val="20"/>
          <w:szCs w:val="20"/>
        </w:rPr>
        <w:t xml:space="preserve">uthentic assessments </w:t>
      </w:r>
      <w:r w:rsidR="00C9356C">
        <w:rPr>
          <w:rFonts w:eastAsia="Times New Roman" w:cs="Times New Roman"/>
          <w:bCs/>
          <w:sz w:val="20"/>
          <w:szCs w:val="20"/>
        </w:rPr>
        <w:t>(</w:t>
      </w:r>
      <w:r w:rsidR="00F123C7" w:rsidRPr="00761FCC">
        <w:rPr>
          <w:rFonts w:eastAsia="Times New Roman" w:cs="Times New Roman"/>
          <w:bCs/>
          <w:sz w:val="20"/>
          <w:szCs w:val="20"/>
        </w:rPr>
        <w:t xml:space="preserve">that is </w:t>
      </w:r>
      <w:r w:rsidR="003722D7">
        <w:rPr>
          <w:rFonts w:eastAsia="Times New Roman" w:cs="Times New Roman"/>
          <w:bCs/>
          <w:sz w:val="20"/>
          <w:szCs w:val="20"/>
        </w:rPr>
        <w:t>assessment that requires students to apply competencies, knowledge or skills as they would in professional life</w:t>
      </w:r>
      <w:r w:rsidR="00F123C7" w:rsidRPr="00761FCC">
        <w:rPr>
          <w:rFonts w:eastAsia="Times New Roman" w:cs="Times New Roman"/>
          <w:bCs/>
          <w:sz w:val="20"/>
          <w:szCs w:val="20"/>
        </w:rPr>
        <w:t xml:space="preserve"> and which will develop employability and transferable skills</w:t>
      </w:r>
      <w:r w:rsidR="00C9356C">
        <w:rPr>
          <w:rFonts w:eastAsia="Times New Roman" w:cs="Times New Roman"/>
          <w:bCs/>
          <w:sz w:val="20"/>
          <w:szCs w:val="20"/>
        </w:rPr>
        <w:t>)</w:t>
      </w:r>
      <w:r w:rsidR="00F123C7" w:rsidRPr="00761FCC">
        <w:rPr>
          <w:rFonts w:eastAsia="Times New Roman" w:cs="Times New Roman"/>
          <w:bCs/>
          <w:sz w:val="20"/>
          <w:szCs w:val="20"/>
        </w:rPr>
        <w:t xml:space="preserve"> should be included </w:t>
      </w:r>
      <w:r w:rsidR="00F123C7">
        <w:rPr>
          <w:rFonts w:eastAsia="Times New Roman" w:cs="Times New Roman"/>
          <w:bCs/>
          <w:sz w:val="20"/>
          <w:szCs w:val="20"/>
        </w:rPr>
        <w:t xml:space="preserve">in </w:t>
      </w:r>
      <w:r w:rsidR="00C9356C">
        <w:rPr>
          <w:rFonts w:eastAsia="Times New Roman" w:cs="Times New Roman"/>
          <w:bCs/>
          <w:sz w:val="20"/>
          <w:szCs w:val="20"/>
        </w:rPr>
        <w:t xml:space="preserve">all </w:t>
      </w:r>
      <w:r w:rsidR="00F123C7">
        <w:rPr>
          <w:rFonts w:eastAsia="Times New Roman" w:cs="Times New Roman"/>
          <w:bCs/>
          <w:sz w:val="20"/>
          <w:szCs w:val="20"/>
        </w:rPr>
        <w:t>programme</w:t>
      </w:r>
      <w:r w:rsidR="00C9356C">
        <w:rPr>
          <w:rFonts w:eastAsia="Times New Roman" w:cs="Times New Roman"/>
          <w:bCs/>
          <w:sz w:val="20"/>
          <w:szCs w:val="20"/>
        </w:rPr>
        <w:t>s</w:t>
      </w:r>
      <w:r w:rsidR="00F123C7">
        <w:rPr>
          <w:rFonts w:eastAsia="Times New Roman" w:cs="Times New Roman"/>
          <w:bCs/>
          <w:sz w:val="20"/>
          <w:szCs w:val="20"/>
        </w:rPr>
        <w:t xml:space="preserve"> of study</w:t>
      </w:r>
      <w:r w:rsidR="00F123C7" w:rsidRPr="00761FCC">
        <w:rPr>
          <w:rFonts w:eastAsia="Times New Roman" w:cs="Times New Roman"/>
          <w:bCs/>
          <w:sz w:val="20"/>
          <w:szCs w:val="20"/>
        </w:rPr>
        <w:t>.</w:t>
      </w:r>
      <w:r w:rsidR="00F123C7">
        <w:rPr>
          <w:rFonts w:eastAsia="Times New Roman" w:cs="Times New Roman"/>
          <w:bCs/>
          <w:sz w:val="20"/>
          <w:szCs w:val="20"/>
        </w:rPr>
        <w:t xml:space="preserve"> The assessment should connect to the discipline, be of the appropriate level of study and </w:t>
      </w:r>
      <w:r w:rsidR="00C9356C">
        <w:rPr>
          <w:rFonts w:eastAsia="Times New Roman" w:cs="Times New Roman"/>
          <w:bCs/>
          <w:sz w:val="20"/>
          <w:szCs w:val="20"/>
        </w:rPr>
        <w:t xml:space="preserve">demonstrate </w:t>
      </w:r>
      <w:r w:rsidR="00F123C7">
        <w:rPr>
          <w:rFonts w:eastAsia="Times New Roman" w:cs="Times New Roman"/>
          <w:bCs/>
          <w:sz w:val="20"/>
          <w:szCs w:val="20"/>
        </w:rPr>
        <w:t>real-world</w:t>
      </w:r>
      <w:r w:rsidR="00C9356C">
        <w:rPr>
          <w:rFonts w:eastAsia="Times New Roman" w:cs="Times New Roman"/>
          <w:bCs/>
          <w:sz w:val="20"/>
          <w:szCs w:val="20"/>
        </w:rPr>
        <w:t xml:space="preserve"> skills</w:t>
      </w:r>
      <w:r w:rsidR="00F123C7">
        <w:rPr>
          <w:rFonts w:eastAsia="Times New Roman" w:cs="Times New Roman"/>
          <w:bCs/>
          <w:sz w:val="20"/>
          <w:szCs w:val="20"/>
        </w:rPr>
        <w:t xml:space="preserve">.  </w:t>
      </w:r>
      <w:bookmarkStart w:id="0" w:name="_GoBack"/>
      <w:bookmarkEnd w:id="0"/>
    </w:p>
    <w:p w14:paraId="1E2FF5F2" w14:textId="0E053EC9" w:rsidR="00F123C7" w:rsidRPr="00761FCC" w:rsidRDefault="00F123C7" w:rsidP="00F123C7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Students should understand the assessment process</w:t>
      </w:r>
    </w:p>
    <w:p w14:paraId="30FAF5C5" w14:textId="698D3814" w:rsidR="00F123C7" w:rsidRPr="00761FCC" w:rsidRDefault="00F123C7" w:rsidP="00F123C7">
      <w:pPr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 xml:space="preserve">Programmes, modules and assessment should be designed </w:t>
      </w:r>
      <w:r w:rsidR="00C9356C">
        <w:rPr>
          <w:rFonts w:eastAsia="Times New Roman" w:cs="Times New Roman"/>
          <w:bCs/>
          <w:sz w:val="20"/>
          <w:szCs w:val="20"/>
        </w:rPr>
        <w:t>to</w:t>
      </w:r>
      <w:r w:rsidR="00671086">
        <w:rPr>
          <w:rFonts w:eastAsia="Times New Roman" w:cs="Times New Roman"/>
          <w:bCs/>
          <w:sz w:val="20"/>
          <w:szCs w:val="20"/>
        </w:rPr>
        <w:t xml:space="preserve"> </w:t>
      </w:r>
      <w:r w:rsidR="00C9356C">
        <w:rPr>
          <w:rFonts w:eastAsia="Times New Roman" w:cs="Times New Roman"/>
          <w:bCs/>
          <w:sz w:val="20"/>
          <w:szCs w:val="20"/>
        </w:rPr>
        <w:t xml:space="preserve">enable </w:t>
      </w:r>
      <w:r w:rsidR="00A53529">
        <w:rPr>
          <w:rFonts w:eastAsia="Times New Roman" w:cs="Times New Roman"/>
          <w:bCs/>
          <w:sz w:val="20"/>
          <w:szCs w:val="20"/>
        </w:rPr>
        <w:t>students</w:t>
      </w:r>
      <w:r w:rsidRPr="00761FCC">
        <w:rPr>
          <w:rFonts w:eastAsia="Times New Roman" w:cs="Times New Roman"/>
          <w:bCs/>
          <w:sz w:val="20"/>
          <w:szCs w:val="20"/>
        </w:rPr>
        <w:t xml:space="preserve"> to understand the </w:t>
      </w:r>
      <w:r w:rsidR="00C9356C">
        <w:rPr>
          <w:rFonts w:eastAsia="Times New Roman" w:cs="Times New Roman"/>
          <w:bCs/>
          <w:sz w:val="20"/>
          <w:szCs w:val="20"/>
        </w:rPr>
        <w:t xml:space="preserve">required </w:t>
      </w:r>
      <w:r w:rsidRPr="00761FCC">
        <w:rPr>
          <w:rFonts w:eastAsia="Times New Roman" w:cs="Times New Roman"/>
          <w:bCs/>
          <w:sz w:val="20"/>
          <w:szCs w:val="20"/>
        </w:rPr>
        <w:t>standards. Students should be engaged in dialogue to understand what is required from, and entailed in, the assessment process</w:t>
      </w:r>
      <w:r>
        <w:rPr>
          <w:rFonts w:eastAsia="Times New Roman" w:cs="Times New Roman"/>
          <w:bCs/>
          <w:sz w:val="20"/>
          <w:szCs w:val="20"/>
        </w:rPr>
        <w:t xml:space="preserve">: the </w:t>
      </w:r>
      <w:r w:rsidR="00C9356C">
        <w:rPr>
          <w:rFonts w:eastAsia="Times New Roman" w:cs="Times New Roman"/>
          <w:bCs/>
          <w:sz w:val="20"/>
          <w:szCs w:val="20"/>
        </w:rPr>
        <w:t>what, why, when and how</w:t>
      </w:r>
      <w:r>
        <w:rPr>
          <w:rFonts w:eastAsia="Times New Roman" w:cs="Times New Roman"/>
          <w:bCs/>
          <w:sz w:val="20"/>
          <w:szCs w:val="20"/>
        </w:rPr>
        <w:t xml:space="preserve"> of their assessments</w:t>
      </w:r>
      <w:r w:rsidRPr="00761FCC">
        <w:rPr>
          <w:rFonts w:eastAsia="Times New Roman" w:cs="Times New Roman"/>
          <w:bCs/>
          <w:sz w:val="20"/>
          <w:szCs w:val="20"/>
        </w:rPr>
        <w:t xml:space="preserve">. </w:t>
      </w:r>
      <w:r w:rsidR="00A53529">
        <w:rPr>
          <w:rFonts w:eastAsia="Times New Roman" w:cs="Times New Roman"/>
          <w:bCs/>
          <w:sz w:val="20"/>
          <w:szCs w:val="20"/>
        </w:rPr>
        <w:t>This understanding has a positive impact on a student’s confidence and motivation.</w:t>
      </w:r>
    </w:p>
    <w:p w14:paraId="3084CB46" w14:textId="65470C5F" w:rsidR="00F123C7" w:rsidRPr="00761FCC" w:rsidRDefault="00F123C7" w:rsidP="00F123C7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Assessment should be in partnership with students</w:t>
      </w:r>
    </w:p>
    <w:p w14:paraId="7176F992" w14:textId="750FFEF5" w:rsidR="00F123C7" w:rsidRPr="00761FCC" w:rsidRDefault="00F123C7" w:rsidP="00F123C7">
      <w:pPr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Programmes should encourage student engagement with assessment, for example in developing</w:t>
      </w:r>
      <w:r w:rsidR="00C9356C">
        <w:rPr>
          <w:rFonts w:eastAsia="Times New Roman" w:cs="Times New Roman"/>
          <w:bCs/>
          <w:sz w:val="20"/>
          <w:szCs w:val="20"/>
        </w:rPr>
        <w:t xml:space="preserve"> and applying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C9356C">
        <w:rPr>
          <w:rFonts w:eastAsia="Times New Roman" w:cs="Times New Roman"/>
          <w:bCs/>
          <w:sz w:val="20"/>
          <w:szCs w:val="20"/>
        </w:rPr>
        <w:t>assessment</w:t>
      </w:r>
      <w:r>
        <w:rPr>
          <w:rFonts w:eastAsia="Times New Roman" w:cs="Times New Roman"/>
          <w:bCs/>
          <w:sz w:val="20"/>
          <w:szCs w:val="20"/>
        </w:rPr>
        <w:t xml:space="preserve"> criteria. This </w:t>
      </w:r>
      <w:r w:rsidR="00C9356C">
        <w:rPr>
          <w:rFonts w:eastAsia="Times New Roman" w:cs="Times New Roman"/>
          <w:bCs/>
          <w:sz w:val="20"/>
          <w:szCs w:val="20"/>
        </w:rPr>
        <w:t>promotes</w:t>
      </w:r>
      <w:r>
        <w:rPr>
          <w:rFonts w:eastAsia="Times New Roman" w:cs="Times New Roman"/>
          <w:bCs/>
          <w:sz w:val="20"/>
          <w:szCs w:val="20"/>
        </w:rPr>
        <w:t xml:space="preserve"> understand</w:t>
      </w:r>
      <w:r w:rsidR="00C9356C">
        <w:rPr>
          <w:rFonts w:eastAsia="Times New Roman" w:cs="Times New Roman"/>
          <w:bCs/>
          <w:sz w:val="20"/>
          <w:szCs w:val="20"/>
        </w:rPr>
        <w:t>ing of</w:t>
      </w:r>
      <w:r>
        <w:rPr>
          <w:rFonts w:eastAsia="Times New Roman" w:cs="Times New Roman"/>
          <w:bCs/>
          <w:sz w:val="20"/>
          <w:szCs w:val="20"/>
        </w:rPr>
        <w:t xml:space="preserve"> how they will be assessed and what learning outcomes the assessment is designed to demonstrate.</w:t>
      </w:r>
      <w:r w:rsidRPr="00761FCC">
        <w:rPr>
          <w:rFonts w:eastAsia="Times New Roman" w:cs="Times New Roman"/>
          <w:bCs/>
          <w:sz w:val="20"/>
          <w:szCs w:val="20"/>
        </w:rPr>
        <w:t xml:space="preserve"> Self-assessment and peer assessment</w:t>
      </w:r>
      <w:r w:rsidR="00C9356C">
        <w:rPr>
          <w:rFonts w:eastAsia="Times New Roman" w:cs="Times New Roman"/>
          <w:bCs/>
          <w:sz w:val="20"/>
          <w:szCs w:val="20"/>
        </w:rPr>
        <w:t xml:space="preserve"> can</w:t>
      </w:r>
      <w:r w:rsidRPr="00761FCC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also </w:t>
      </w:r>
      <w:r w:rsidRPr="00761FCC">
        <w:rPr>
          <w:rFonts w:eastAsia="Times New Roman" w:cs="Times New Roman"/>
          <w:bCs/>
          <w:sz w:val="20"/>
          <w:szCs w:val="20"/>
        </w:rPr>
        <w:t>engage students in the product</w:t>
      </w:r>
      <w:r w:rsidR="00C9356C">
        <w:rPr>
          <w:rFonts w:eastAsia="Times New Roman" w:cs="Times New Roman"/>
          <w:bCs/>
          <w:sz w:val="20"/>
          <w:szCs w:val="20"/>
        </w:rPr>
        <w:t>ion</w:t>
      </w:r>
      <w:r w:rsidRPr="00761FCC">
        <w:rPr>
          <w:rFonts w:eastAsia="Times New Roman" w:cs="Times New Roman"/>
          <w:bCs/>
          <w:sz w:val="20"/>
          <w:szCs w:val="20"/>
        </w:rPr>
        <w:t xml:space="preserve"> and process of assessment.</w:t>
      </w:r>
    </w:p>
    <w:p w14:paraId="74BAEE9B" w14:textId="2BE1421E" w:rsidR="00C544DB" w:rsidRDefault="00C544DB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1BE95E2C" w14:textId="27FDA66F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bookmarkStart w:id="1" w:name="General"/>
      <w:bookmarkEnd w:id="1"/>
      <w:r w:rsidRPr="00761FCC">
        <w:rPr>
          <w:rFonts w:eastAsia="Times New Roman"/>
          <w:b/>
          <w:sz w:val="24"/>
          <w:szCs w:val="24"/>
        </w:rPr>
        <w:lastRenderedPageBreak/>
        <w:t>Assessment should be balanced across the programme of study</w:t>
      </w:r>
    </w:p>
    <w:p w14:paraId="62CE858A" w14:textId="6A37B7DC" w:rsidR="00761FCC" w:rsidRPr="00761FCC" w:rsidRDefault="00761FCC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>Students should undertake appropriate assessment</w:t>
      </w:r>
      <w:r w:rsidR="00C9356C">
        <w:rPr>
          <w:rFonts w:eastAsia="Times New Roman" w:cs="Times New Roman"/>
          <w:bCs/>
          <w:sz w:val="20"/>
          <w:szCs w:val="20"/>
        </w:rPr>
        <w:t xml:space="preserve"> task</w:t>
      </w:r>
      <w:r w:rsidRPr="00761FCC">
        <w:rPr>
          <w:rFonts w:eastAsia="Times New Roman" w:cs="Times New Roman"/>
          <w:bCs/>
          <w:sz w:val="20"/>
          <w:szCs w:val="20"/>
        </w:rPr>
        <w:t xml:space="preserve">s </w:t>
      </w:r>
      <w:r w:rsidR="00C9356C">
        <w:rPr>
          <w:rFonts w:eastAsia="Times New Roman" w:cs="Times New Roman"/>
          <w:bCs/>
          <w:sz w:val="20"/>
          <w:szCs w:val="20"/>
        </w:rPr>
        <w:t xml:space="preserve">in </w:t>
      </w:r>
      <w:r w:rsidRPr="00761FCC">
        <w:rPr>
          <w:rFonts w:eastAsia="Times New Roman" w:cs="Times New Roman"/>
          <w:bCs/>
          <w:sz w:val="20"/>
          <w:szCs w:val="20"/>
        </w:rPr>
        <w:t>each level of study</w:t>
      </w:r>
      <w:r w:rsidR="00BF4D9B">
        <w:rPr>
          <w:rFonts w:eastAsia="Times New Roman" w:cs="Times New Roman"/>
          <w:bCs/>
          <w:sz w:val="20"/>
          <w:szCs w:val="20"/>
        </w:rPr>
        <w:t>.</w:t>
      </w:r>
      <w:r w:rsidRPr="00761FCC">
        <w:rPr>
          <w:rFonts w:eastAsia="Times New Roman" w:cs="Times New Roman"/>
          <w:bCs/>
          <w:sz w:val="20"/>
          <w:szCs w:val="20"/>
        </w:rPr>
        <w:t xml:space="preserve"> </w:t>
      </w:r>
      <w:r w:rsidR="00C9356C">
        <w:rPr>
          <w:rFonts w:eastAsia="Times New Roman" w:cs="Times New Roman"/>
          <w:bCs/>
          <w:sz w:val="20"/>
          <w:szCs w:val="20"/>
        </w:rPr>
        <w:t>A</w:t>
      </w:r>
      <w:r w:rsidRPr="00761FCC">
        <w:rPr>
          <w:rFonts w:eastAsia="Times New Roman" w:cs="Times New Roman"/>
          <w:bCs/>
          <w:sz w:val="20"/>
          <w:szCs w:val="20"/>
        </w:rPr>
        <w:t xml:space="preserve">ssessment tasks </w:t>
      </w:r>
      <w:r w:rsidR="00C9356C">
        <w:rPr>
          <w:rFonts w:eastAsia="Times New Roman" w:cs="Times New Roman"/>
          <w:bCs/>
          <w:sz w:val="20"/>
          <w:szCs w:val="20"/>
        </w:rPr>
        <w:t xml:space="preserve">should be designed to </w:t>
      </w:r>
      <w:r w:rsidRPr="00761FCC">
        <w:rPr>
          <w:rFonts w:eastAsia="Times New Roman" w:cs="Times New Roman"/>
          <w:bCs/>
          <w:sz w:val="20"/>
          <w:szCs w:val="20"/>
        </w:rPr>
        <w:t>build on</w:t>
      </w:r>
      <w:r w:rsidR="00671086">
        <w:rPr>
          <w:rFonts w:eastAsia="Times New Roman" w:cs="Times New Roman"/>
          <w:bCs/>
          <w:sz w:val="20"/>
          <w:szCs w:val="20"/>
        </w:rPr>
        <w:t xml:space="preserve"> and develop</w:t>
      </w:r>
      <w:r w:rsidRPr="00761FCC">
        <w:rPr>
          <w:rFonts w:eastAsia="Times New Roman" w:cs="Times New Roman"/>
          <w:bCs/>
          <w:sz w:val="20"/>
          <w:szCs w:val="20"/>
        </w:rPr>
        <w:t xml:space="preserve"> previous </w:t>
      </w:r>
      <w:r w:rsidR="00C9356C">
        <w:rPr>
          <w:rFonts w:eastAsia="Times New Roman" w:cs="Times New Roman"/>
          <w:bCs/>
          <w:sz w:val="20"/>
          <w:szCs w:val="20"/>
        </w:rPr>
        <w:t xml:space="preserve">skills and knowledge </w:t>
      </w:r>
      <w:r w:rsidRPr="00761FCC">
        <w:rPr>
          <w:rFonts w:eastAsia="Times New Roman" w:cs="Times New Roman"/>
          <w:bCs/>
          <w:sz w:val="20"/>
          <w:szCs w:val="20"/>
        </w:rPr>
        <w:t>and develop</w:t>
      </w:r>
      <w:r w:rsidR="00C9356C">
        <w:rPr>
          <w:rFonts w:eastAsia="Times New Roman" w:cs="Times New Roman"/>
          <w:bCs/>
          <w:sz w:val="20"/>
          <w:szCs w:val="20"/>
        </w:rPr>
        <w:t xml:space="preserve"> these</w:t>
      </w:r>
      <w:r w:rsidRPr="00761FCC">
        <w:rPr>
          <w:rFonts w:eastAsia="Times New Roman" w:cs="Times New Roman"/>
          <w:bCs/>
          <w:sz w:val="20"/>
          <w:szCs w:val="20"/>
        </w:rPr>
        <w:t xml:space="preserve"> for the next level of study. </w:t>
      </w:r>
    </w:p>
    <w:p w14:paraId="27E5EAE2" w14:textId="7EA8ACE4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>Assessment should be transparent, valid</w:t>
      </w:r>
      <w:r w:rsidR="007E1586">
        <w:rPr>
          <w:rFonts w:eastAsia="Times New Roman"/>
          <w:b/>
          <w:sz w:val="24"/>
          <w:szCs w:val="24"/>
        </w:rPr>
        <w:t xml:space="preserve"> and</w:t>
      </w:r>
      <w:r w:rsidRPr="00761FCC">
        <w:rPr>
          <w:rFonts w:eastAsia="Times New Roman"/>
          <w:b/>
          <w:sz w:val="24"/>
          <w:szCs w:val="24"/>
        </w:rPr>
        <w:t xml:space="preserve"> reliable </w:t>
      </w:r>
    </w:p>
    <w:p w14:paraId="3A709B38" w14:textId="2FE84289" w:rsidR="00761FCC" w:rsidRPr="00761FCC" w:rsidRDefault="00C9356C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Successful completion of assessments</w:t>
      </w:r>
      <w:r w:rsidR="00761FCC" w:rsidRPr="00761FCC">
        <w:rPr>
          <w:rFonts w:eastAsia="Times New Roman" w:cs="Times New Roman"/>
          <w:bCs/>
          <w:sz w:val="20"/>
          <w:szCs w:val="20"/>
        </w:rPr>
        <w:t xml:space="preserve"> enable</w:t>
      </w:r>
      <w:r>
        <w:rPr>
          <w:rFonts w:eastAsia="Times New Roman" w:cs="Times New Roman"/>
          <w:bCs/>
          <w:sz w:val="20"/>
          <w:szCs w:val="20"/>
        </w:rPr>
        <w:t>s</w:t>
      </w:r>
      <w:r w:rsidR="00761FCC" w:rsidRPr="00761FCC">
        <w:rPr>
          <w:rFonts w:eastAsia="Times New Roman" w:cs="Times New Roman"/>
          <w:bCs/>
          <w:sz w:val="20"/>
          <w:szCs w:val="20"/>
        </w:rPr>
        <w:t xml:space="preserve"> students to demonstrate that they have achieved all learning outcomes by the end of the programme. Information </w:t>
      </w:r>
      <w:r>
        <w:rPr>
          <w:rFonts w:eastAsia="Times New Roman" w:cs="Times New Roman"/>
          <w:bCs/>
          <w:sz w:val="20"/>
          <w:szCs w:val="20"/>
        </w:rPr>
        <w:t xml:space="preserve">on all assessments </w:t>
      </w:r>
      <w:r w:rsidR="00761FCC" w:rsidRPr="00761FCC">
        <w:rPr>
          <w:rFonts w:eastAsia="Times New Roman" w:cs="Times New Roman"/>
          <w:bCs/>
          <w:sz w:val="20"/>
          <w:szCs w:val="20"/>
        </w:rPr>
        <w:t xml:space="preserve">should be explicit, accurate and transparent </w:t>
      </w:r>
      <w:r>
        <w:rPr>
          <w:rFonts w:eastAsia="Times New Roman" w:cs="Times New Roman"/>
          <w:bCs/>
          <w:sz w:val="20"/>
          <w:szCs w:val="20"/>
        </w:rPr>
        <w:t xml:space="preserve">and </w:t>
      </w:r>
      <w:r w:rsidR="00761FCC" w:rsidRPr="00761FCC">
        <w:rPr>
          <w:rFonts w:eastAsia="Times New Roman" w:cs="Times New Roman"/>
          <w:bCs/>
          <w:sz w:val="20"/>
          <w:szCs w:val="20"/>
        </w:rPr>
        <w:t>consistent processes for setting, marking, moderating and external scrutiny</w:t>
      </w:r>
      <w:r>
        <w:rPr>
          <w:rFonts w:eastAsia="Times New Roman" w:cs="Times New Roman"/>
          <w:bCs/>
          <w:sz w:val="20"/>
          <w:szCs w:val="20"/>
        </w:rPr>
        <w:t xml:space="preserve"> of assessments should be in place</w:t>
      </w:r>
      <w:r w:rsidR="00761FCC" w:rsidRPr="00761FCC">
        <w:rPr>
          <w:rFonts w:eastAsia="Times New Roman" w:cs="Times New Roman"/>
          <w:bCs/>
          <w:sz w:val="20"/>
          <w:szCs w:val="20"/>
        </w:rPr>
        <w:t xml:space="preserve">. </w:t>
      </w:r>
    </w:p>
    <w:p w14:paraId="0CFF9940" w14:textId="77777777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>There should be opportunities for formative assessment in all programmes</w:t>
      </w:r>
    </w:p>
    <w:p w14:paraId="44A6E0ED" w14:textId="334381D9" w:rsidR="00761FCC" w:rsidRPr="00761FCC" w:rsidRDefault="00761FCC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>Formative assessment</w:t>
      </w:r>
      <w:r w:rsidR="00BF4D9B">
        <w:rPr>
          <w:rFonts w:eastAsia="Times New Roman" w:cs="Times New Roman"/>
          <w:bCs/>
          <w:sz w:val="20"/>
          <w:szCs w:val="20"/>
        </w:rPr>
        <w:t xml:space="preserve"> and varied forms of formative feedback</w:t>
      </w:r>
      <w:r w:rsidRPr="00761FCC">
        <w:rPr>
          <w:rFonts w:eastAsia="Times New Roman" w:cs="Times New Roman"/>
          <w:bCs/>
          <w:sz w:val="20"/>
          <w:szCs w:val="20"/>
        </w:rPr>
        <w:t xml:space="preserve"> should be clearly connected to associated summative assessments. </w:t>
      </w:r>
      <w:r w:rsidR="00C9356C">
        <w:rPr>
          <w:rFonts w:eastAsia="Times New Roman" w:cs="Times New Roman"/>
          <w:bCs/>
          <w:sz w:val="20"/>
          <w:szCs w:val="20"/>
        </w:rPr>
        <w:t>Engagement with r</w:t>
      </w:r>
      <w:r w:rsidRPr="00761FCC">
        <w:rPr>
          <w:rFonts w:eastAsia="Times New Roman" w:cs="Times New Roman"/>
          <w:bCs/>
          <w:sz w:val="20"/>
          <w:szCs w:val="20"/>
        </w:rPr>
        <w:t>egular formative activities</w:t>
      </w:r>
      <w:r w:rsidR="00BF4D9B">
        <w:rPr>
          <w:rFonts w:eastAsia="Times New Roman" w:cs="Times New Roman"/>
          <w:bCs/>
          <w:sz w:val="20"/>
          <w:szCs w:val="20"/>
        </w:rPr>
        <w:t xml:space="preserve"> and</w:t>
      </w:r>
      <w:r w:rsidR="00C9356C">
        <w:rPr>
          <w:rFonts w:eastAsia="Times New Roman" w:cs="Times New Roman"/>
          <w:bCs/>
          <w:sz w:val="20"/>
          <w:szCs w:val="20"/>
        </w:rPr>
        <w:t xml:space="preserve"> </w:t>
      </w:r>
      <w:r w:rsidR="0016238A">
        <w:rPr>
          <w:rFonts w:eastAsia="Times New Roman" w:cs="Times New Roman"/>
          <w:bCs/>
          <w:sz w:val="20"/>
          <w:szCs w:val="20"/>
        </w:rPr>
        <w:t>academic</w:t>
      </w:r>
      <w:r w:rsidR="00C9356C">
        <w:rPr>
          <w:rFonts w:eastAsia="Times New Roman" w:cs="Times New Roman"/>
          <w:bCs/>
          <w:sz w:val="20"/>
          <w:szCs w:val="20"/>
        </w:rPr>
        <w:t xml:space="preserve"> feedback</w:t>
      </w:r>
      <w:r w:rsidRPr="00761FCC">
        <w:rPr>
          <w:rFonts w:eastAsia="Times New Roman" w:cs="Times New Roman"/>
          <w:bCs/>
          <w:sz w:val="20"/>
          <w:szCs w:val="20"/>
        </w:rPr>
        <w:t xml:space="preserve"> help to deep</w:t>
      </w:r>
      <w:r w:rsidR="007E1586">
        <w:rPr>
          <w:rFonts w:eastAsia="Times New Roman" w:cs="Times New Roman"/>
          <w:bCs/>
          <w:sz w:val="20"/>
          <w:szCs w:val="20"/>
        </w:rPr>
        <w:t>en</w:t>
      </w:r>
      <w:r w:rsidRPr="00761FCC">
        <w:rPr>
          <w:rFonts w:eastAsia="Times New Roman" w:cs="Times New Roman"/>
          <w:bCs/>
          <w:sz w:val="20"/>
          <w:szCs w:val="20"/>
        </w:rPr>
        <w:t xml:space="preserve"> student understanding</w:t>
      </w:r>
      <w:r w:rsidR="00671086">
        <w:rPr>
          <w:rFonts w:eastAsia="Times New Roman" w:cs="Times New Roman"/>
          <w:bCs/>
          <w:sz w:val="20"/>
          <w:szCs w:val="20"/>
        </w:rPr>
        <w:t>, support their development as a learner</w:t>
      </w:r>
      <w:r w:rsidRPr="00761FCC">
        <w:rPr>
          <w:rFonts w:eastAsia="Times New Roman" w:cs="Times New Roman"/>
          <w:bCs/>
          <w:sz w:val="20"/>
          <w:szCs w:val="20"/>
        </w:rPr>
        <w:t xml:space="preserve"> and help them know how they are doing and how they can improve.</w:t>
      </w:r>
      <w:r w:rsidR="00A53529">
        <w:rPr>
          <w:rFonts w:eastAsia="Times New Roman" w:cs="Times New Roman"/>
          <w:bCs/>
          <w:sz w:val="20"/>
          <w:szCs w:val="20"/>
        </w:rPr>
        <w:t xml:space="preserve"> Formative assessment also positively impacts on a student’s confidence and motivation for summative assessment processes. </w:t>
      </w:r>
    </w:p>
    <w:p w14:paraId="5F4BED7A" w14:textId="69FEBE7C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 xml:space="preserve">Assessment </w:t>
      </w:r>
      <w:r w:rsidR="0016238A">
        <w:rPr>
          <w:rFonts w:eastAsia="Times New Roman"/>
          <w:b/>
          <w:sz w:val="24"/>
          <w:szCs w:val="24"/>
        </w:rPr>
        <w:t>types</w:t>
      </w:r>
      <w:r w:rsidRPr="00761FCC">
        <w:rPr>
          <w:rFonts w:eastAsia="Times New Roman"/>
          <w:b/>
          <w:sz w:val="24"/>
          <w:szCs w:val="24"/>
        </w:rPr>
        <w:t xml:space="preserve"> should be inclusive</w:t>
      </w:r>
      <w:r w:rsidR="00BF4D9B">
        <w:rPr>
          <w:rFonts w:eastAsia="Times New Roman"/>
          <w:b/>
          <w:sz w:val="24"/>
          <w:szCs w:val="24"/>
        </w:rPr>
        <w:t>,</w:t>
      </w:r>
      <w:r w:rsidRPr="00761FCC">
        <w:rPr>
          <w:rFonts w:eastAsia="Times New Roman"/>
          <w:b/>
          <w:sz w:val="24"/>
          <w:szCs w:val="24"/>
        </w:rPr>
        <w:t xml:space="preserve"> equitable</w:t>
      </w:r>
      <w:r w:rsidR="0016238A">
        <w:rPr>
          <w:rFonts w:eastAsia="Times New Roman"/>
          <w:b/>
          <w:sz w:val="24"/>
          <w:szCs w:val="24"/>
        </w:rPr>
        <w:t xml:space="preserve"> and sufficiently demanding</w:t>
      </w:r>
    </w:p>
    <w:p w14:paraId="7EE24173" w14:textId="3F69225E" w:rsidR="00761FCC" w:rsidRPr="00761FCC" w:rsidRDefault="0016238A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A</w:t>
      </w:r>
      <w:r w:rsidR="00761FCC" w:rsidRPr="00761FCC">
        <w:rPr>
          <w:rFonts w:eastAsia="Times New Roman" w:cs="Times New Roman"/>
          <w:bCs/>
          <w:sz w:val="20"/>
          <w:szCs w:val="20"/>
        </w:rPr>
        <w:t>ssessments should not disadvantage any group or individuals</w:t>
      </w:r>
      <w:r>
        <w:rPr>
          <w:rFonts w:eastAsia="Times New Roman" w:cs="Times New Roman"/>
          <w:bCs/>
          <w:sz w:val="20"/>
          <w:szCs w:val="20"/>
        </w:rPr>
        <w:t xml:space="preserve">, </w:t>
      </w:r>
      <w:r w:rsidRPr="00761FCC">
        <w:rPr>
          <w:rFonts w:eastAsia="Times New Roman" w:cs="Times New Roman"/>
          <w:bCs/>
          <w:sz w:val="20"/>
          <w:szCs w:val="20"/>
        </w:rPr>
        <w:t>enabl</w:t>
      </w:r>
      <w:r>
        <w:rPr>
          <w:rFonts w:eastAsia="Times New Roman" w:cs="Times New Roman"/>
          <w:bCs/>
          <w:sz w:val="20"/>
          <w:szCs w:val="20"/>
        </w:rPr>
        <w:t>ing</w:t>
      </w:r>
      <w:r w:rsidRPr="00761FCC">
        <w:rPr>
          <w:rFonts w:eastAsia="Times New Roman" w:cs="Times New Roman"/>
          <w:bCs/>
          <w:sz w:val="20"/>
          <w:szCs w:val="20"/>
        </w:rPr>
        <w:t xml:space="preserve"> students to demonstrate the highest level of attainment of which they are capable</w:t>
      </w:r>
      <w:r>
        <w:rPr>
          <w:rFonts w:eastAsia="Times New Roman" w:cs="Times New Roman"/>
          <w:bCs/>
          <w:sz w:val="20"/>
          <w:szCs w:val="20"/>
        </w:rPr>
        <w:t>, whilst maintaining academic standards</w:t>
      </w:r>
      <w:r w:rsidR="00BF4D9B">
        <w:rPr>
          <w:rFonts w:eastAsia="Times New Roman" w:cs="Times New Roman"/>
          <w:bCs/>
          <w:sz w:val="20"/>
          <w:szCs w:val="20"/>
        </w:rPr>
        <w:t>.</w:t>
      </w:r>
    </w:p>
    <w:p w14:paraId="52AB7C2D" w14:textId="218EB376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 xml:space="preserve">Assessment should be </w:t>
      </w:r>
      <w:r w:rsidR="007E1586">
        <w:rPr>
          <w:rFonts w:eastAsia="Times New Roman"/>
          <w:b/>
          <w:sz w:val="24"/>
          <w:szCs w:val="24"/>
        </w:rPr>
        <w:t xml:space="preserve">managed and </w:t>
      </w:r>
      <w:r w:rsidRPr="00761FCC">
        <w:rPr>
          <w:rFonts w:eastAsia="Times New Roman"/>
          <w:b/>
          <w:sz w:val="24"/>
          <w:szCs w:val="24"/>
        </w:rPr>
        <w:t xml:space="preserve">manageable </w:t>
      </w:r>
    </w:p>
    <w:p w14:paraId="3859DAF6" w14:textId="1C073F8D" w:rsidR="00761FCC" w:rsidRPr="00761FCC" w:rsidRDefault="00761FCC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 xml:space="preserve">The scheduling and amount of assessment should enable students to demonstrate the highest level of attainment with regard for not overloading both staff and students. </w:t>
      </w:r>
      <w:r w:rsidR="004612DA">
        <w:rPr>
          <w:rFonts w:eastAsia="Times New Roman" w:cs="Times New Roman"/>
          <w:bCs/>
          <w:sz w:val="20"/>
          <w:szCs w:val="20"/>
        </w:rPr>
        <w:t xml:space="preserve">Clustering </w:t>
      </w:r>
      <w:r w:rsidRPr="00761FCC">
        <w:rPr>
          <w:rFonts w:eastAsia="Times New Roman" w:cs="Times New Roman"/>
          <w:bCs/>
          <w:sz w:val="20"/>
          <w:szCs w:val="20"/>
        </w:rPr>
        <w:t xml:space="preserve">of assessment should be minimised as far as possible, and assessment should not measure the same </w:t>
      </w:r>
      <w:r w:rsidR="004612DA">
        <w:rPr>
          <w:rFonts w:eastAsia="Times New Roman" w:cs="Times New Roman"/>
          <w:bCs/>
          <w:sz w:val="20"/>
          <w:szCs w:val="20"/>
        </w:rPr>
        <w:t xml:space="preserve">skills and knowledge </w:t>
      </w:r>
      <w:r w:rsidRPr="00761FCC">
        <w:rPr>
          <w:rFonts w:eastAsia="Times New Roman" w:cs="Times New Roman"/>
          <w:bCs/>
          <w:sz w:val="20"/>
          <w:szCs w:val="20"/>
        </w:rPr>
        <w:t xml:space="preserve">repeatedly. Modules should not </w:t>
      </w:r>
      <w:r w:rsidR="004612DA">
        <w:rPr>
          <w:rFonts w:eastAsia="Times New Roman" w:cs="Times New Roman"/>
          <w:bCs/>
          <w:sz w:val="20"/>
          <w:szCs w:val="20"/>
        </w:rPr>
        <w:t xml:space="preserve">normally </w:t>
      </w:r>
      <w:r w:rsidRPr="00761FCC">
        <w:rPr>
          <w:rFonts w:eastAsia="Times New Roman" w:cs="Times New Roman"/>
          <w:bCs/>
          <w:sz w:val="20"/>
          <w:szCs w:val="20"/>
        </w:rPr>
        <w:t>have more than two items of assessment</w:t>
      </w:r>
      <w:r w:rsidR="00D46E24">
        <w:rPr>
          <w:rFonts w:eastAsia="Times New Roman" w:cs="Times New Roman"/>
          <w:bCs/>
          <w:sz w:val="20"/>
          <w:szCs w:val="20"/>
        </w:rPr>
        <w:t>, but it may be appropriate for the module to include fewer or more than two points of assessment</w:t>
      </w:r>
      <w:r w:rsidRPr="00761FCC">
        <w:rPr>
          <w:rFonts w:eastAsia="Times New Roman" w:cs="Times New Roman"/>
          <w:bCs/>
          <w:sz w:val="20"/>
          <w:szCs w:val="20"/>
        </w:rPr>
        <w:t xml:space="preserve">. </w:t>
      </w:r>
    </w:p>
    <w:p w14:paraId="6A31F21F" w14:textId="77777777" w:rsidR="00761FCC" w:rsidRPr="00761FCC" w:rsidRDefault="00761FCC" w:rsidP="00761FCC">
      <w:pPr>
        <w:keepNext/>
        <w:keepLines/>
        <w:numPr>
          <w:ilvl w:val="0"/>
          <w:numId w:val="12"/>
        </w:numPr>
        <w:tabs>
          <w:tab w:val="clear" w:pos="4513"/>
          <w:tab w:val="clear" w:pos="9026"/>
        </w:tabs>
        <w:spacing w:before="240" w:after="40"/>
        <w:ind w:left="454" w:hanging="454"/>
        <w:outlineLvl w:val="0"/>
        <w:rPr>
          <w:rFonts w:eastAsia="Times New Roman"/>
          <w:b/>
          <w:sz w:val="24"/>
          <w:szCs w:val="24"/>
        </w:rPr>
      </w:pPr>
      <w:r w:rsidRPr="00761FCC">
        <w:rPr>
          <w:rFonts w:eastAsia="Times New Roman"/>
          <w:b/>
          <w:sz w:val="24"/>
          <w:szCs w:val="24"/>
        </w:rPr>
        <w:t>Assessment should be monitored and evaluated</w:t>
      </w:r>
    </w:p>
    <w:p w14:paraId="1922788A" w14:textId="3D1006F9" w:rsidR="00761FCC" w:rsidRPr="00761FCC" w:rsidRDefault="00761FCC" w:rsidP="00761FCC">
      <w:pPr>
        <w:keepNext/>
        <w:keepLines/>
        <w:tabs>
          <w:tab w:val="clear" w:pos="4513"/>
          <w:tab w:val="clear" w:pos="9026"/>
        </w:tabs>
        <w:spacing w:before="40" w:after="40"/>
        <w:ind w:left="454"/>
        <w:outlineLvl w:val="0"/>
        <w:rPr>
          <w:rFonts w:eastAsia="Times New Roman" w:cs="Times New Roman"/>
          <w:bCs/>
          <w:sz w:val="20"/>
          <w:szCs w:val="20"/>
        </w:rPr>
      </w:pPr>
      <w:r w:rsidRPr="00761FCC">
        <w:rPr>
          <w:rFonts w:eastAsia="Times New Roman" w:cs="Times New Roman"/>
          <w:bCs/>
          <w:sz w:val="20"/>
          <w:szCs w:val="20"/>
        </w:rPr>
        <w:t>Assessment should be regularly reviewed in line with University quality assurance and enhancement processes, and monitored to ensure</w:t>
      </w:r>
      <w:r w:rsidR="004612DA">
        <w:rPr>
          <w:rFonts w:eastAsia="Times New Roman" w:cs="Times New Roman"/>
          <w:bCs/>
          <w:sz w:val="20"/>
          <w:szCs w:val="20"/>
        </w:rPr>
        <w:t xml:space="preserve"> currency,</w:t>
      </w:r>
      <w:r w:rsidRPr="00761FCC">
        <w:rPr>
          <w:rFonts w:eastAsia="Times New Roman" w:cs="Times New Roman"/>
          <w:bCs/>
          <w:sz w:val="20"/>
          <w:szCs w:val="20"/>
        </w:rPr>
        <w:t xml:space="preserve"> fairness, parity and quality. Student performance should be </w:t>
      </w:r>
      <w:r w:rsidR="004612DA">
        <w:rPr>
          <w:rFonts w:eastAsia="Times New Roman" w:cs="Times New Roman"/>
          <w:bCs/>
          <w:sz w:val="20"/>
          <w:szCs w:val="20"/>
        </w:rPr>
        <w:t xml:space="preserve">analysed and evaluated regularly </w:t>
      </w:r>
      <w:r w:rsidRPr="00761FCC">
        <w:rPr>
          <w:rFonts w:eastAsia="Times New Roman" w:cs="Times New Roman"/>
          <w:bCs/>
          <w:sz w:val="20"/>
          <w:szCs w:val="20"/>
        </w:rPr>
        <w:t xml:space="preserve">to ensure </w:t>
      </w:r>
      <w:r w:rsidR="004612DA">
        <w:rPr>
          <w:rFonts w:eastAsia="Times New Roman" w:cs="Times New Roman"/>
          <w:bCs/>
          <w:sz w:val="20"/>
          <w:szCs w:val="20"/>
        </w:rPr>
        <w:t xml:space="preserve">no </w:t>
      </w:r>
      <w:r w:rsidRPr="00761FCC">
        <w:rPr>
          <w:rFonts w:eastAsia="Times New Roman" w:cs="Times New Roman"/>
          <w:bCs/>
          <w:sz w:val="20"/>
          <w:szCs w:val="20"/>
        </w:rPr>
        <w:t xml:space="preserve">inadvertent disadvantaging </w:t>
      </w:r>
      <w:r w:rsidR="004612DA">
        <w:rPr>
          <w:rFonts w:eastAsia="Times New Roman" w:cs="Times New Roman"/>
          <w:bCs/>
          <w:sz w:val="20"/>
          <w:szCs w:val="20"/>
        </w:rPr>
        <w:t xml:space="preserve">of </w:t>
      </w:r>
      <w:r w:rsidRPr="00761FCC">
        <w:rPr>
          <w:rFonts w:eastAsia="Times New Roman" w:cs="Times New Roman"/>
          <w:bCs/>
          <w:sz w:val="20"/>
          <w:szCs w:val="20"/>
        </w:rPr>
        <w:t>groups or individuals.</w:t>
      </w:r>
    </w:p>
    <w:p w14:paraId="25CEF8B3" w14:textId="77777777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TableGrid1"/>
        <w:tblW w:w="0" w:type="auto"/>
        <w:tblBorders>
          <w:top w:val="single" w:sz="4" w:space="0" w:color="7C7D7F"/>
          <w:left w:val="single" w:sz="4" w:space="0" w:color="7C7D7F"/>
          <w:bottom w:val="single" w:sz="4" w:space="0" w:color="7C7D7F"/>
          <w:right w:val="single" w:sz="4" w:space="0" w:color="7C7D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8237"/>
      </w:tblGrid>
      <w:tr w:rsidR="00761FCC" w:rsidRPr="00761FCC" w14:paraId="3AD2878C" w14:textId="77777777" w:rsidTr="00E83658">
        <w:tc>
          <w:tcPr>
            <w:tcW w:w="1526" w:type="dxa"/>
            <w:tcMar>
              <w:top w:w="57" w:type="dxa"/>
              <w:bottom w:w="57" w:type="dxa"/>
            </w:tcMar>
          </w:tcPr>
          <w:p w14:paraId="1027B848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b/>
                <w:iCs/>
                <w:sz w:val="20"/>
                <w:szCs w:val="20"/>
                <w:lang w:eastAsia="en-GB"/>
              </w:rPr>
              <w:t>Associated links:</w:t>
            </w:r>
          </w:p>
        </w:tc>
        <w:tc>
          <w:tcPr>
            <w:tcW w:w="9156" w:type="dxa"/>
            <w:tcMar>
              <w:top w:w="57" w:type="dxa"/>
              <w:bottom w:w="57" w:type="dxa"/>
            </w:tcMar>
          </w:tcPr>
          <w:p w14:paraId="5ED5600C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color w:val="000F9F"/>
                <w:sz w:val="16"/>
                <w:szCs w:val="20"/>
                <w:u w:val="single"/>
                <w:lang w:eastAsia="en-GB"/>
              </w:rPr>
            </w:pPr>
            <w:r w:rsidRPr="00761FCC">
              <w:rPr>
                <w:rFonts w:eastAsia="Times New Roman" w:cs="Times New Roman"/>
                <w:color w:val="000F9F"/>
                <w:sz w:val="16"/>
                <w:szCs w:val="20"/>
                <w:u w:val="single"/>
                <w:lang w:eastAsia="en-GB"/>
              </w:rPr>
              <w:t>[webpage addressed in full]</w:t>
            </w:r>
          </w:p>
        </w:tc>
      </w:tr>
    </w:tbl>
    <w:p w14:paraId="39A6E1DF" w14:textId="77777777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523403F3" w14:textId="77777777" w:rsidR="00761FCC" w:rsidRPr="00761FCC" w:rsidRDefault="00761FCC" w:rsidP="00761FCC">
      <w:pPr>
        <w:keepNext/>
        <w:keepLines/>
        <w:tabs>
          <w:tab w:val="clear" w:pos="4513"/>
          <w:tab w:val="clear" w:pos="9026"/>
        </w:tabs>
        <w:spacing w:before="240" w:after="40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761FCC">
        <w:rPr>
          <w:rFonts w:eastAsia="Times New Roman" w:cs="Times New Roman"/>
          <w:b/>
          <w:bCs/>
          <w:sz w:val="24"/>
          <w:szCs w:val="24"/>
        </w:rPr>
        <w:t>Version control statement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36"/>
        <w:gridCol w:w="7500"/>
      </w:tblGrid>
      <w:tr w:rsidR="00761FCC" w:rsidRPr="00761FCC" w14:paraId="2DAA5A89" w14:textId="77777777" w:rsidTr="00E83658">
        <w:tc>
          <w:tcPr>
            <w:tcW w:w="2376" w:type="dxa"/>
            <w:vAlign w:val="center"/>
          </w:tcPr>
          <w:p w14:paraId="3088563F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b/>
                <w:iCs/>
                <w:sz w:val="20"/>
                <w:szCs w:val="20"/>
                <w:lang w:eastAsia="en-GB"/>
              </w:rPr>
              <w:t>Policy reference code:</w:t>
            </w:r>
          </w:p>
        </w:tc>
        <w:tc>
          <w:tcPr>
            <w:tcW w:w="8306" w:type="dxa"/>
            <w:vAlign w:val="center"/>
          </w:tcPr>
          <w:p w14:paraId="796187F9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</w:tr>
      <w:tr w:rsidR="00761FCC" w:rsidRPr="00761FCC" w14:paraId="18EF5B03" w14:textId="77777777" w:rsidTr="00E83658">
        <w:tc>
          <w:tcPr>
            <w:tcW w:w="2376" w:type="dxa"/>
            <w:vAlign w:val="center"/>
          </w:tcPr>
          <w:p w14:paraId="7B601601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Version:</w:t>
            </w:r>
          </w:p>
        </w:tc>
        <w:tc>
          <w:tcPr>
            <w:tcW w:w="8306" w:type="dxa"/>
            <w:vAlign w:val="center"/>
          </w:tcPr>
          <w:p w14:paraId="30391535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1.0</w:t>
            </w:r>
          </w:p>
        </w:tc>
      </w:tr>
      <w:tr w:rsidR="00761FCC" w:rsidRPr="00761FCC" w14:paraId="271DA9D7" w14:textId="77777777" w:rsidTr="00E83658">
        <w:tc>
          <w:tcPr>
            <w:tcW w:w="2376" w:type="dxa"/>
            <w:vAlign w:val="center"/>
          </w:tcPr>
          <w:p w14:paraId="318343E1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Document title:</w:t>
            </w:r>
          </w:p>
        </w:tc>
        <w:tc>
          <w:tcPr>
            <w:tcW w:w="8306" w:type="dxa"/>
            <w:vAlign w:val="center"/>
          </w:tcPr>
          <w:p w14:paraId="13CFD4A6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Principles of Assessment</w:t>
            </w:r>
          </w:p>
        </w:tc>
      </w:tr>
      <w:tr w:rsidR="00761FCC" w:rsidRPr="00761FCC" w14:paraId="4D04F35F" w14:textId="77777777" w:rsidTr="00E83658">
        <w:tc>
          <w:tcPr>
            <w:tcW w:w="2376" w:type="dxa"/>
            <w:vAlign w:val="center"/>
          </w:tcPr>
          <w:p w14:paraId="38096629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Author role and department:</w:t>
            </w:r>
          </w:p>
        </w:tc>
        <w:tc>
          <w:tcPr>
            <w:tcW w:w="8306" w:type="dxa"/>
            <w:vAlign w:val="center"/>
          </w:tcPr>
          <w:p w14:paraId="5BA1108E" w14:textId="78DA8231" w:rsidR="00761FCC" w:rsidRPr="00761FCC" w:rsidRDefault="00D46E24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Deputy Academic Registrar, Registry and Learning and Teaching Committee</w:t>
            </w:r>
          </w:p>
        </w:tc>
      </w:tr>
      <w:tr w:rsidR="00761FCC" w:rsidRPr="00761FCC" w14:paraId="227A4001" w14:textId="77777777" w:rsidTr="00E83658">
        <w:tc>
          <w:tcPr>
            <w:tcW w:w="2376" w:type="dxa"/>
            <w:vAlign w:val="center"/>
          </w:tcPr>
          <w:p w14:paraId="51F970E8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Approved date:</w:t>
            </w:r>
          </w:p>
        </w:tc>
        <w:tc>
          <w:tcPr>
            <w:tcW w:w="8306" w:type="dxa"/>
            <w:vAlign w:val="center"/>
          </w:tcPr>
          <w:p w14:paraId="696D559C" w14:textId="277455DE" w:rsidR="00761FCC" w:rsidRPr="00761FCC" w:rsidRDefault="00D46E24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03 June 2020</w:t>
            </w:r>
          </w:p>
        </w:tc>
      </w:tr>
      <w:tr w:rsidR="00761FCC" w:rsidRPr="00761FCC" w14:paraId="7F33AFE7" w14:textId="77777777" w:rsidTr="00E83658">
        <w:tc>
          <w:tcPr>
            <w:tcW w:w="2376" w:type="dxa"/>
            <w:vAlign w:val="center"/>
          </w:tcPr>
          <w:p w14:paraId="46F62348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Approved by:</w:t>
            </w:r>
          </w:p>
        </w:tc>
        <w:tc>
          <w:tcPr>
            <w:tcW w:w="8306" w:type="dxa"/>
            <w:vAlign w:val="center"/>
          </w:tcPr>
          <w:p w14:paraId="6BB44E7B" w14:textId="51D55CBF" w:rsidR="00761FCC" w:rsidRPr="00761FCC" w:rsidRDefault="00D46E24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Quality and Standards Committee</w:t>
            </w:r>
          </w:p>
        </w:tc>
      </w:tr>
      <w:tr w:rsidR="00761FCC" w:rsidRPr="00761FCC" w14:paraId="01EBFD19" w14:textId="77777777" w:rsidTr="00E83658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CF02E6B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Equality analysis undertaken:</w:t>
            </w:r>
          </w:p>
        </w:tc>
        <w:tc>
          <w:tcPr>
            <w:tcW w:w="8306" w:type="dxa"/>
            <w:vAlign w:val="center"/>
          </w:tcPr>
          <w:p w14:paraId="2531C8AB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Not undertaken</w:t>
            </w:r>
          </w:p>
        </w:tc>
      </w:tr>
    </w:tbl>
    <w:p w14:paraId="55596BAB" w14:textId="77777777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20"/>
          <w:szCs w:val="20"/>
        </w:rPr>
      </w:pPr>
    </w:p>
    <w:p w14:paraId="628452D1" w14:textId="77777777" w:rsidR="00761FCC" w:rsidRPr="00761FCC" w:rsidRDefault="00761FCC" w:rsidP="00761FCC">
      <w:pPr>
        <w:tabs>
          <w:tab w:val="clear" w:pos="4513"/>
          <w:tab w:val="clear" w:pos="9026"/>
        </w:tabs>
        <w:spacing w:before="40" w:after="40"/>
        <w:outlineLvl w:val="0"/>
        <w:rPr>
          <w:rFonts w:eastAsia="Times New Roman" w:cs="Times New Roman"/>
          <w:bCs/>
          <w:sz w:val="16"/>
          <w:szCs w:val="20"/>
        </w:rPr>
      </w:pPr>
      <w:r w:rsidRPr="00761FCC">
        <w:rPr>
          <w:rFonts w:eastAsia="Times New Roman" w:cs="Times New Roman"/>
          <w:bCs/>
          <w:sz w:val="16"/>
          <w:szCs w:val="20"/>
        </w:rPr>
        <w:t>Amendments since approval: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8"/>
        <w:gridCol w:w="5047"/>
        <w:gridCol w:w="1309"/>
        <w:gridCol w:w="2442"/>
      </w:tblGrid>
      <w:tr w:rsidR="00761FCC" w:rsidRPr="00761FCC" w14:paraId="728BD0B3" w14:textId="77777777" w:rsidTr="00E83658">
        <w:tc>
          <w:tcPr>
            <w:tcW w:w="959" w:type="dxa"/>
          </w:tcPr>
          <w:p w14:paraId="096A08A6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Version:</w:t>
            </w:r>
          </w:p>
        </w:tc>
        <w:tc>
          <w:tcPr>
            <w:tcW w:w="5670" w:type="dxa"/>
          </w:tcPr>
          <w:p w14:paraId="43DA9149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Detail of revision:</w:t>
            </w:r>
          </w:p>
        </w:tc>
        <w:tc>
          <w:tcPr>
            <w:tcW w:w="1382" w:type="dxa"/>
            <w:vAlign w:val="center"/>
          </w:tcPr>
          <w:p w14:paraId="33047436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Date of revision:</w:t>
            </w:r>
          </w:p>
        </w:tc>
        <w:tc>
          <w:tcPr>
            <w:tcW w:w="2671" w:type="dxa"/>
            <w:vAlign w:val="center"/>
          </w:tcPr>
          <w:p w14:paraId="4CEB1B86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761FCC">
              <w:rPr>
                <w:rFonts w:eastAsia="Times New Roman" w:cs="Times New Roman"/>
                <w:sz w:val="16"/>
                <w:szCs w:val="20"/>
                <w:lang w:eastAsia="en-GB"/>
              </w:rPr>
              <w:t>Revision approved by:</w:t>
            </w:r>
          </w:p>
        </w:tc>
      </w:tr>
      <w:tr w:rsidR="00761FCC" w:rsidRPr="00761FCC" w14:paraId="787007A0" w14:textId="77777777" w:rsidTr="00E83658">
        <w:tc>
          <w:tcPr>
            <w:tcW w:w="959" w:type="dxa"/>
            <w:vAlign w:val="center"/>
          </w:tcPr>
          <w:p w14:paraId="78D247E1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361C6F76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1382" w:type="dxa"/>
            <w:vAlign w:val="center"/>
          </w:tcPr>
          <w:p w14:paraId="7BECCAEB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671" w:type="dxa"/>
            <w:vAlign w:val="center"/>
          </w:tcPr>
          <w:p w14:paraId="46319D65" w14:textId="77777777" w:rsidR="00761FCC" w:rsidRPr="00761FCC" w:rsidRDefault="00761FCC" w:rsidP="00761FCC">
            <w:pPr>
              <w:tabs>
                <w:tab w:val="clear" w:pos="4513"/>
                <w:tab w:val="clear" w:pos="9026"/>
              </w:tabs>
              <w:spacing w:before="20" w:after="20"/>
              <w:outlineLvl w:val="0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</w:tr>
    </w:tbl>
    <w:p w14:paraId="6FE03A58" w14:textId="77777777" w:rsidR="009F103D" w:rsidRDefault="009F103D" w:rsidP="00761FCC">
      <w:pPr>
        <w:tabs>
          <w:tab w:val="clear" w:pos="4513"/>
          <w:tab w:val="clear" w:pos="9026"/>
        </w:tabs>
        <w:spacing w:after="160" w:line="259" w:lineRule="auto"/>
      </w:pPr>
    </w:p>
    <w:sectPr w:rsidR="009F103D" w:rsidSect="00A06FE6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28C7" w14:textId="77777777" w:rsidR="001A1393" w:rsidRDefault="001A1393" w:rsidP="00A06FE6">
      <w:r>
        <w:separator/>
      </w:r>
    </w:p>
  </w:endnote>
  <w:endnote w:type="continuationSeparator" w:id="0">
    <w:p w14:paraId="41271595" w14:textId="77777777" w:rsidR="001A1393" w:rsidRDefault="001A1393" w:rsidP="00A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7E23" w14:textId="77777777" w:rsidR="001A1393" w:rsidRDefault="001A1393" w:rsidP="00A06FE6">
      <w:r>
        <w:separator/>
      </w:r>
    </w:p>
  </w:footnote>
  <w:footnote w:type="continuationSeparator" w:id="0">
    <w:p w14:paraId="5BF7BB10" w14:textId="77777777" w:rsidR="001A1393" w:rsidRDefault="001A1393" w:rsidP="00A0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537"/>
    <w:multiLevelType w:val="hybridMultilevel"/>
    <w:tmpl w:val="C0144994"/>
    <w:lvl w:ilvl="0" w:tplc="774E8E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4239"/>
    <w:multiLevelType w:val="hybridMultilevel"/>
    <w:tmpl w:val="11CC1DB4"/>
    <w:lvl w:ilvl="0" w:tplc="A62A386C">
      <w:start w:val="1"/>
      <w:numFmt w:val="lowerLetter"/>
      <w:lvlText w:val="%1)"/>
      <w:lvlJc w:val="left"/>
      <w:pPr>
        <w:ind w:left="360" w:hanging="360"/>
      </w:pPr>
      <w:rPr>
        <w:b w:val="0"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A619E"/>
    <w:multiLevelType w:val="hybridMultilevel"/>
    <w:tmpl w:val="8EB2E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B556A"/>
    <w:multiLevelType w:val="hybridMultilevel"/>
    <w:tmpl w:val="0742E2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745994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04E8"/>
    <w:multiLevelType w:val="hybridMultilevel"/>
    <w:tmpl w:val="E29618C0"/>
    <w:lvl w:ilvl="0" w:tplc="774E8EE4">
      <w:start w:val="1"/>
      <w:numFmt w:val="decimal"/>
      <w:lvlText w:val="%1."/>
      <w:lvlJc w:val="left"/>
      <w:pPr>
        <w:ind w:left="360" w:hanging="360"/>
      </w:pPr>
      <w:rPr>
        <w:b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45B65"/>
    <w:multiLevelType w:val="hybridMultilevel"/>
    <w:tmpl w:val="03260B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729D"/>
    <w:multiLevelType w:val="hybridMultilevel"/>
    <w:tmpl w:val="7EBE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12E6"/>
    <w:multiLevelType w:val="hybridMultilevel"/>
    <w:tmpl w:val="853CAD02"/>
    <w:lvl w:ilvl="0" w:tplc="774E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5D68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7163"/>
    <w:multiLevelType w:val="hybridMultilevel"/>
    <w:tmpl w:val="9F90FCCA"/>
    <w:lvl w:ilvl="0" w:tplc="793A0D44">
      <w:start w:val="1"/>
      <w:numFmt w:val="decimal"/>
      <w:lvlText w:val="%1."/>
      <w:lvlJc w:val="left"/>
      <w:pPr>
        <w:ind w:left="360" w:hanging="360"/>
      </w:pPr>
      <w:rPr>
        <w:b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C755E"/>
    <w:multiLevelType w:val="hybridMultilevel"/>
    <w:tmpl w:val="C4380C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741A0"/>
    <w:multiLevelType w:val="multilevel"/>
    <w:tmpl w:val="438E13D4"/>
    <w:styleLink w:val="RegulationStyl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40"/>
    <w:rsid w:val="000405FF"/>
    <w:rsid w:val="0009725F"/>
    <w:rsid w:val="000C6D15"/>
    <w:rsid w:val="0016238A"/>
    <w:rsid w:val="001A1393"/>
    <w:rsid w:val="001E3352"/>
    <w:rsid w:val="00206BA3"/>
    <w:rsid w:val="00212BA4"/>
    <w:rsid w:val="00222840"/>
    <w:rsid w:val="002261D9"/>
    <w:rsid w:val="002613F8"/>
    <w:rsid w:val="002B35C0"/>
    <w:rsid w:val="002C03FF"/>
    <w:rsid w:val="00301C5F"/>
    <w:rsid w:val="00336C96"/>
    <w:rsid w:val="003722D7"/>
    <w:rsid w:val="003F6F92"/>
    <w:rsid w:val="0045284D"/>
    <w:rsid w:val="004612DA"/>
    <w:rsid w:val="00503230"/>
    <w:rsid w:val="00517A2D"/>
    <w:rsid w:val="00520196"/>
    <w:rsid w:val="00554DBD"/>
    <w:rsid w:val="00557B34"/>
    <w:rsid w:val="005C64CD"/>
    <w:rsid w:val="005D0865"/>
    <w:rsid w:val="00661085"/>
    <w:rsid w:val="00671086"/>
    <w:rsid w:val="006C27B7"/>
    <w:rsid w:val="006E21FE"/>
    <w:rsid w:val="00703EE5"/>
    <w:rsid w:val="00717446"/>
    <w:rsid w:val="00752804"/>
    <w:rsid w:val="00761FCC"/>
    <w:rsid w:val="00771C0C"/>
    <w:rsid w:val="007E1586"/>
    <w:rsid w:val="007F2C85"/>
    <w:rsid w:val="007F6214"/>
    <w:rsid w:val="00816861"/>
    <w:rsid w:val="00834AE4"/>
    <w:rsid w:val="00843C87"/>
    <w:rsid w:val="00852E57"/>
    <w:rsid w:val="008908A5"/>
    <w:rsid w:val="00925BFF"/>
    <w:rsid w:val="009A639F"/>
    <w:rsid w:val="009F103D"/>
    <w:rsid w:val="00A06FE6"/>
    <w:rsid w:val="00A465E8"/>
    <w:rsid w:val="00A53529"/>
    <w:rsid w:val="00A664F7"/>
    <w:rsid w:val="00AB53D5"/>
    <w:rsid w:val="00AD1446"/>
    <w:rsid w:val="00AE743C"/>
    <w:rsid w:val="00B15BDF"/>
    <w:rsid w:val="00B17716"/>
    <w:rsid w:val="00B447F0"/>
    <w:rsid w:val="00B63F86"/>
    <w:rsid w:val="00BF2DBB"/>
    <w:rsid w:val="00BF4D9B"/>
    <w:rsid w:val="00C04B78"/>
    <w:rsid w:val="00C12AAE"/>
    <w:rsid w:val="00C544DB"/>
    <w:rsid w:val="00C61553"/>
    <w:rsid w:val="00C66280"/>
    <w:rsid w:val="00C9356C"/>
    <w:rsid w:val="00CA71B9"/>
    <w:rsid w:val="00CD2B77"/>
    <w:rsid w:val="00CD4D84"/>
    <w:rsid w:val="00CD72D4"/>
    <w:rsid w:val="00D46E24"/>
    <w:rsid w:val="00D70F0B"/>
    <w:rsid w:val="00D92D64"/>
    <w:rsid w:val="00DA57A5"/>
    <w:rsid w:val="00DA6CAC"/>
    <w:rsid w:val="00E35017"/>
    <w:rsid w:val="00E5065D"/>
    <w:rsid w:val="00E75D1F"/>
    <w:rsid w:val="00ED73E4"/>
    <w:rsid w:val="00EF6BF7"/>
    <w:rsid w:val="00F123C7"/>
    <w:rsid w:val="00F33C22"/>
    <w:rsid w:val="00F52A51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0AA97"/>
  <w15:chartTrackingRefBased/>
  <w15:docId w15:val="{2589FE26-A503-456E-B10E-C0E82C1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FE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2"/>
    <w:qFormat/>
    <w:rsid w:val="00A06FE6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840"/>
  </w:style>
  <w:style w:type="character" w:customStyle="1" w:styleId="HeaderChar">
    <w:name w:val="Header Char"/>
    <w:basedOn w:val="DefaultParagraphFont"/>
    <w:link w:val="Header"/>
    <w:uiPriority w:val="99"/>
    <w:rsid w:val="00222840"/>
  </w:style>
  <w:style w:type="paragraph" w:styleId="Footer">
    <w:name w:val="footer"/>
    <w:basedOn w:val="Normal"/>
    <w:link w:val="FooterChar"/>
    <w:uiPriority w:val="99"/>
    <w:unhideWhenUsed/>
    <w:rsid w:val="00222840"/>
  </w:style>
  <w:style w:type="character" w:customStyle="1" w:styleId="FooterChar">
    <w:name w:val="Footer Char"/>
    <w:basedOn w:val="DefaultParagraphFont"/>
    <w:link w:val="Footer"/>
    <w:uiPriority w:val="99"/>
    <w:rsid w:val="00222840"/>
  </w:style>
  <w:style w:type="table" w:styleId="TableGrid">
    <w:name w:val="Table Grid"/>
    <w:basedOn w:val="TableNormal"/>
    <w:uiPriority w:val="59"/>
    <w:rsid w:val="0022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"/>
    <w:qFormat/>
    <w:rsid w:val="00771C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FE6"/>
    <w:rPr>
      <w:rFonts w:ascii="Arial" w:hAnsi="Arial" w:cs="Arial"/>
      <w:b/>
      <w:sz w:val="36"/>
      <w:szCs w:val="36"/>
    </w:rPr>
  </w:style>
  <w:style w:type="character" w:styleId="Strong">
    <w:name w:val="Strong"/>
    <w:uiPriority w:val="22"/>
    <w:qFormat/>
    <w:rsid w:val="00A06FE6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D1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D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egulationStyle">
    <w:name w:val="Regulation Style"/>
    <w:uiPriority w:val="99"/>
    <w:rsid w:val="00761FCC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3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1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1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E02-9BBF-475D-865C-BAC567BC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Irving</dc:creator>
  <cp:keywords/>
  <dc:description/>
  <cp:lastModifiedBy>Emma French</cp:lastModifiedBy>
  <cp:revision>3</cp:revision>
  <cp:lastPrinted>2019-04-04T15:27:00Z</cp:lastPrinted>
  <dcterms:created xsi:type="dcterms:W3CDTF">2020-08-12T07:58:00Z</dcterms:created>
  <dcterms:modified xsi:type="dcterms:W3CDTF">2020-08-12T08:10:00Z</dcterms:modified>
</cp:coreProperties>
</file>