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AEFE" w14:textId="383E2AC7" w:rsidR="001C7067" w:rsidRDefault="00111365" w:rsidP="0099538E">
      <w:pPr>
        <w:tabs>
          <w:tab w:val="left" w:pos="540"/>
        </w:tabs>
        <w:spacing w:before="120" w:after="120" w:line="360" w:lineRule="auto"/>
        <w:ind w:right="141"/>
        <w:rPr>
          <w:rFonts w:cs="Arial"/>
          <w:b/>
          <w:sz w:val="24"/>
          <w:szCs w:val="24"/>
          <w:lang w:eastAsia="en-US"/>
        </w:rPr>
      </w:pPr>
      <w:r>
        <w:rPr>
          <w:rFonts w:cs="Arial"/>
          <w:b/>
          <w:sz w:val="24"/>
          <w:szCs w:val="24"/>
          <w:lang w:eastAsia="en-US"/>
        </w:rPr>
        <w:t xml:space="preserve"> </w:t>
      </w:r>
      <w:r w:rsidR="001C7067">
        <w:rPr>
          <w:noProof/>
        </w:rPr>
        <w:drawing>
          <wp:inline distT="0" distB="0" distL="0" distR="0" wp14:anchorId="1FAC3FB3" wp14:editId="52AF00C8">
            <wp:extent cx="2066925" cy="829681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ker\Downloads\logo-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B365" w14:textId="77777777" w:rsidR="003D45C1" w:rsidRPr="00162417" w:rsidRDefault="003D45C1" w:rsidP="0099538E">
      <w:pPr>
        <w:tabs>
          <w:tab w:val="left" w:pos="540"/>
        </w:tabs>
        <w:spacing w:before="120" w:after="120" w:line="240" w:lineRule="auto"/>
        <w:rPr>
          <w:rFonts w:ascii="Times New Roman" w:hAnsi="Times New Roman"/>
          <w:lang w:val="x-none" w:eastAsia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2C16" wp14:editId="0A40EA6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57900" cy="0"/>
                <wp:effectExtent l="24130" t="26670" r="23495" b="2095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CDC98" id="Straight Connector 8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" strokeweight="3pt"/>
            </w:pict>
          </mc:Fallback>
        </mc:AlternateContent>
      </w:r>
    </w:p>
    <w:p w14:paraId="3ACED7FF" w14:textId="77777777" w:rsidR="003D45C1" w:rsidRPr="00162417" w:rsidRDefault="003D45C1" w:rsidP="0099538E">
      <w:pPr>
        <w:tabs>
          <w:tab w:val="left" w:pos="540"/>
        </w:tabs>
        <w:spacing w:before="120" w:after="120" w:line="240" w:lineRule="auto"/>
        <w:rPr>
          <w:rFonts w:cs="Arial"/>
          <w:b/>
          <w:sz w:val="24"/>
          <w:szCs w:val="24"/>
          <w:lang w:eastAsia="en-US"/>
        </w:rPr>
      </w:pPr>
      <w:r w:rsidRPr="00162417">
        <w:rPr>
          <w:rFonts w:cs="Arial"/>
          <w:b/>
          <w:bCs/>
          <w:sz w:val="24"/>
          <w:szCs w:val="24"/>
          <w:lang w:eastAsia="en-US"/>
        </w:rPr>
        <w:t xml:space="preserve">PART A </w:t>
      </w:r>
      <w:r w:rsidRPr="00162417">
        <w:rPr>
          <w:rFonts w:cs="Arial"/>
          <w:b/>
          <w:sz w:val="24"/>
          <w:szCs w:val="24"/>
          <w:lang w:eastAsia="en-US"/>
        </w:rPr>
        <w:t>- Examiner Details</w:t>
      </w:r>
    </w:p>
    <w:p w14:paraId="5696853A" w14:textId="77777777" w:rsidR="003D45C1" w:rsidRPr="00162417" w:rsidRDefault="003D45C1" w:rsidP="0099538E">
      <w:pPr>
        <w:tabs>
          <w:tab w:val="left" w:pos="540"/>
        </w:tabs>
        <w:spacing w:before="120" w:after="120" w:line="240" w:lineRule="auto"/>
        <w:rPr>
          <w:rFonts w:cs="Arial"/>
          <w:b/>
          <w:sz w:val="24"/>
          <w:szCs w:val="24"/>
          <w:lang w:eastAsia="en-US"/>
        </w:rPr>
      </w:pPr>
      <w:r w:rsidRPr="00162417">
        <w:rPr>
          <w:rFonts w:cs="Arial"/>
          <w:b/>
          <w:sz w:val="24"/>
          <w:szCs w:val="24"/>
          <w:lang w:eastAsia="en-US"/>
        </w:rPr>
        <w:t>PART B – Full Report</w:t>
      </w:r>
    </w:p>
    <w:p w14:paraId="7416C22B" w14:textId="470A3279" w:rsidR="00DC3D0D" w:rsidRPr="003D7F00" w:rsidRDefault="00A41D12" w:rsidP="0099538E">
      <w:pPr>
        <w:tabs>
          <w:tab w:val="left" w:pos="540"/>
        </w:tabs>
        <w:spacing w:before="120" w:after="120" w:line="240" w:lineRule="auto"/>
        <w:rPr>
          <w:rFonts w:cs="Arial"/>
          <w:bCs/>
          <w:szCs w:val="22"/>
          <w:lang w:eastAsia="en-US"/>
        </w:rPr>
      </w:pPr>
      <w:r>
        <w:rPr>
          <w:rFonts w:cs="Arial"/>
          <w:bCs/>
          <w:szCs w:val="22"/>
          <w:lang w:eastAsia="en-US"/>
        </w:rPr>
        <w:t>Q.6, 8 and 10 -</w:t>
      </w:r>
      <w:r w:rsidR="00DC3D0D" w:rsidRPr="003D7F00">
        <w:rPr>
          <w:rFonts w:cs="Arial"/>
          <w:bCs/>
          <w:szCs w:val="22"/>
          <w:lang w:eastAsia="en-US"/>
        </w:rPr>
        <w:t xml:space="preserve"> you’re firstly asked to indicate whether you ‘strongly agree’, ‘somewhat agree’, ‘neutral’, ‘somewhat disagree’, or ‘strongly agree’ and secondly to provide a commentary to support your response</w:t>
      </w:r>
    </w:p>
    <w:p w14:paraId="373E476A" w14:textId="77777777" w:rsidR="00886A5C" w:rsidRPr="00162417" w:rsidRDefault="00886A5C" w:rsidP="0099538E">
      <w:pPr>
        <w:tabs>
          <w:tab w:val="left" w:pos="540"/>
        </w:tabs>
        <w:spacing w:before="120" w:after="120" w:line="240" w:lineRule="auto"/>
        <w:rPr>
          <w:rFonts w:cs="Arial"/>
          <w:b/>
          <w:sz w:val="24"/>
          <w:szCs w:val="24"/>
          <w:lang w:eastAsia="en-US"/>
        </w:rPr>
      </w:pPr>
    </w:p>
    <w:p w14:paraId="6B468DA3" w14:textId="0CD7D967" w:rsidR="003D45C1" w:rsidRPr="00A41D12" w:rsidRDefault="00A41D12" w:rsidP="0099538E">
      <w:pPr>
        <w:keepNext/>
        <w:spacing w:before="120" w:after="120" w:line="240" w:lineRule="auto"/>
        <w:outlineLvl w:val="4"/>
        <w:rPr>
          <w:b/>
          <w:lang w:val="en-US" w:eastAsia="en-US"/>
        </w:rPr>
      </w:pPr>
      <w:r>
        <w:rPr>
          <w:b/>
          <w:lang w:val="en-US" w:eastAsia="en-US"/>
        </w:rPr>
        <w:t xml:space="preserve">6. </w:t>
      </w:r>
      <w:r w:rsidR="00B341C1" w:rsidRPr="00A41D12">
        <w:rPr>
          <w:b/>
          <w:lang w:val="en-US" w:eastAsia="en-US"/>
        </w:rPr>
        <w:t xml:space="preserve">Operation of the </w:t>
      </w:r>
      <w:r w:rsidR="00493512" w:rsidRPr="00A41D12">
        <w:rPr>
          <w:b/>
          <w:lang w:val="en-US" w:eastAsia="en-US"/>
        </w:rPr>
        <w:t>Progress and Award Examination Panel</w:t>
      </w:r>
    </w:p>
    <w:p w14:paraId="67BBA589" w14:textId="3988C23F" w:rsidR="00DF10E2" w:rsidRDefault="00DF10E2" w:rsidP="0099538E">
      <w:pPr>
        <w:keepNext/>
        <w:tabs>
          <w:tab w:val="left" w:pos="426"/>
        </w:tabs>
        <w:spacing w:before="120" w:after="120" w:line="240" w:lineRule="auto"/>
        <w:outlineLvl w:val="4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Indicate to what extent you agree that </w:t>
      </w:r>
      <w:r w:rsidRPr="00FE2307">
        <w:rPr>
          <w:rFonts w:cs="Arial"/>
          <w:szCs w:val="22"/>
          <w:lang w:eastAsia="en-US"/>
        </w:rPr>
        <w:t xml:space="preserve">the proceedings of the </w:t>
      </w:r>
      <w:r>
        <w:rPr>
          <w:rFonts w:cs="Arial"/>
          <w:szCs w:val="22"/>
          <w:lang w:eastAsia="en-US"/>
        </w:rPr>
        <w:t>Progress and Award Examination Panel</w:t>
      </w:r>
      <w:r w:rsidRPr="00FE2307">
        <w:rPr>
          <w:rFonts w:cs="Arial"/>
          <w:szCs w:val="22"/>
          <w:lang w:eastAsia="en-US"/>
        </w:rPr>
        <w:t xml:space="preserve"> demonstrated assessment processes that were robust, fair and in line with the University’s policies and regulations</w:t>
      </w:r>
      <w:r w:rsidR="007172E5">
        <w:rPr>
          <w:rFonts w:cs="Arial"/>
          <w:szCs w:val="22"/>
          <w:lang w:eastAsia="en-US"/>
        </w:rPr>
        <w:t>.</w:t>
      </w:r>
    </w:p>
    <w:p w14:paraId="09EF0210" w14:textId="5E505EDC" w:rsidR="003D45C1" w:rsidRPr="00A41D12" w:rsidRDefault="00D70757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b/>
          <w:lang w:val="en-US" w:eastAsia="en-US"/>
        </w:rPr>
      </w:pPr>
      <w:r w:rsidRPr="00A41D12">
        <w:rPr>
          <w:b/>
          <w:lang w:val="en-US" w:eastAsia="en-US"/>
        </w:rPr>
        <w:t xml:space="preserve"> </w:t>
      </w:r>
      <w:r w:rsidR="00A41D12">
        <w:rPr>
          <w:b/>
          <w:lang w:val="en-US" w:eastAsia="en-US"/>
        </w:rPr>
        <w:t>8.</w:t>
      </w:r>
      <w:r w:rsidR="0099538E">
        <w:rPr>
          <w:b/>
          <w:lang w:val="en-US" w:eastAsia="en-US"/>
        </w:rPr>
        <w:t xml:space="preserve"> </w:t>
      </w:r>
      <w:r w:rsidR="00B341C1" w:rsidRPr="00A41D12">
        <w:rPr>
          <w:b/>
          <w:lang w:val="en-US" w:eastAsia="en-US"/>
        </w:rPr>
        <w:t>Comparability</w:t>
      </w:r>
    </w:p>
    <w:p w14:paraId="6E2CE6CB" w14:textId="6D7980AA" w:rsidR="00D70757" w:rsidRDefault="001930B6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rFonts w:cs="Arial"/>
          <w:bCs/>
          <w:szCs w:val="24"/>
          <w:lang w:eastAsia="en-US"/>
        </w:rPr>
      </w:pPr>
      <w:r w:rsidRPr="001930B6">
        <w:rPr>
          <w:bCs/>
          <w:lang w:val="en-US" w:eastAsia="en-US"/>
        </w:rPr>
        <w:t xml:space="preserve">Indicate to what extent you agree that the </w:t>
      </w:r>
      <w:r>
        <w:rPr>
          <w:bCs/>
          <w:lang w:val="en-US" w:eastAsia="en-US"/>
        </w:rPr>
        <w:t>policies</w:t>
      </w:r>
      <w:r w:rsidR="00B67BDC">
        <w:rPr>
          <w:bCs/>
          <w:lang w:val="en-US" w:eastAsia="en-US"/>
        </w:rPr>
        <w:t xml:space="preserve"> </w:t>
      </w:r>
      <w:r w:rsidR="00B67BDC">
        <w:rPr>
          <w:rFonts w:cs="Arial"/>
          <w:bCs/>
          <w:szCs w:val="24"/>
          <w:lang w:eastAsia="en-US"/>
        </w:rPr>
        <w:t>, regulations and processes governing progress and award</w:t>
      </w:r>
      <w:r w:rsidR="00B67BDC" w:rsidRPr="00162417">
        <w:rPr>
          <w:rFonts w:cs="Arial"/>
          <w:bCs/>
          <w:szCs w:val="24"/>
          <w:lang w:eastAsia="en-US"/>
        </w:rPr>
        <w:t xml:space="preserve"> are comparable with those </w:t>
      </w:r>
      <w:r w:rsidR="00B67BDC">
        <w:rPr>
          <w:rFonts w:cs="Arial"/>
          <w:bCs/>
          <w:szCs w:val="24"/>
          <w:lang w:eastAsia="en-US"/>
        </w:rPr>
        <w:t xml:space="preserve">of </w:t>
      </w:r>
      <w:r w:rsidR="00B67BDC" w:rsidRPr="00162417">
        <w:rPr>
          <w:rFonts w:cs="Arial"/>
          <w:bCs/>
          <w:szCs w:val="24"/>
          <w:lang w:eastAsia="en-US"/>
        </w:rPr>
        <w:t>other UK higher education institutions of which you have experience</w:t>
      </w:r>
      <w:r w:rsidR="00B67BDC">
        <w:rPr>
          <w:rFonts w:cs="Arial"/>
          <w:bCs/>
          <w:szCs w:val="24"/>
          <w:lang w:eastAsia="en-US"/>
        </w:rPr>
        <w:t xml:space="preserve"> and in line with expectations set out in the UK Quality Code</w:t>
      </w:r>
      <w:r w:rsidR="00B67BDC" w:rsidRPr="00162417">
        <w:rPr>
          <w:rFonts w:cs="Arial"/>
          <w:bCs/>
          <w:szCs w:val="24"/>
          <w:lang w:eastAsia="en-US"/>
        </w:rPr>
        <w:t>.</w:t>
      </w:r>
    </w:p>
    <w:p w14:paraId="2A1E3A58" w14:textId="77777777" w:rsidR="00A41D12" w:rsidRDefault="00A41D12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rFonts w:cs="Arial"/>
          <w:szCs w:val="24"/>
          <w:lang w:eastAsia="en-US"/>
        </w:rPr>
      </w:pPr>
      <w:r>
        <w:rPr>
          <w:b/>
          <w:lang w:val="en-US" w:eastAsia="en-US"/>
        </w:rPr>
        <w:t xml:space="preserve">10. </w:t>
      </w:r>
      <w:r w:rsidRPr="00A41D12">
        <w:rPr>
          <w:b/>
          <w:lang w:val="en-US" w:eastAsia="en-US"/>
        </w:rPr>
        <w:t>Comparability</w:t>
      </w:r>
      <w:r w:rsidRPr="00162417">
        <w:rPr>
          <w:rFonts w:cs="Arial"/>
          <w:szCs w:val="24"/>
          <w:lang w:eastAsia="en-US"/>
        </w:rPr>
        <w:t xml:space="preserve"> </w:t>
      </w:r>
    </w:p>
    <w:p w14:paraId="3A59C195" w14:textId="31E45D0B" w:rsidR="00A41D12" w:rsidRDefault="00A41D12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Indicate to what</w:t>
      </w:r>
      <w:r w:rsidR="0099538E">
        <w:rPr>
          <w:rFonts w:cs="Arial"/>
          <w:szCs w:val="24"/>
          <w:lang w:eastAsia="en-US"/>
        </w:rPr>
        <w:t xml:space="preserve"> extent you agree that </w:t>
      </w:r>
      <w:r>
        <w:rPr>
          <w:rFonts w:cs="Arial"/>
          <w:szCs w:val="24"/>
          <w:lang w:eastAsia="en-US"/>
        </w:rPr>
        <w:t xml:space="preserve">the operation of the Progress and Award Examination Panel provided assurance regarding </w:t>
      </w:r>
      <w:r w:rsidRPr="00162417">
        <w:rPr>
          <w:rFonts w:cs="Arial"/>
          <w:szCs w:val="24"/>
          <w:lang w:eastAsia="en-US"/>
        </w:rPr>
        <w:t xml:space="preserve">comparability across different </w:t>
      </w:r>
      <w:r>
        <w:rPr>
          <w:rFonts w:cs="Arial"/>
          <w:szCs w:val="24"/>
          <w:lang w:eastAsia="en-US"/>
        </w:rPr>
        <w:t>schools</w:t>
      </w:r>
      <w:r w:rsidRPr="00162417">
        <w:rPr>
          <w:rFonts w:cs="Arial"/>
          <w:szCs w:val="24"/>
          <w:lang w:eastAsia="en-US"/>
        </w:rPr>
        <w:t xml:space="preserve"> and different sites</w:t>
      </w:r>
      <w:r>
        <w:rPr>
          <w:rFonts w:cs="Arial"/>
          <w:szCs w:val="24"/>
          <w:lang w:eastAsia="en-US"/>
        </w:rPr>
        <w:t xml:space="preserve"> (where appropriate)</w:t>
      </w:r>
      <w:r w:rsidRPr="00162417">
        <w:rPr>
          <w:rFonts w:cs="Arial"/>
          <w:szCs w:val="24"/>
          <w:lang w:eastAsia="en-US"/>
        </w:rPr>
        <w:t>.</w:t>
      </w:r>
    </w:p>
    <w:p w14:paraId="06F02108" w14:textId="68E8D9BF" w:rsidR="003D45C1" w:rsidRDefault="00A41D12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b/>
          <w:lang w:val="en-US" w:eastAsia="en-US"/>
        </w:rPr>
      </w:pPr>
      <w:r>
        <w:rPr>
          <w:b/>
          <w:lang w:val="en-US" w:eastAsia="en-US"/>
        </w:rPr>
        <w:t xml:space="preserve">8. </w:t>
      </w:r>
      <w:r w:rsidR="00D10719">
        <w:rPr>
          <w:b/>
          <w:lang w:val="en-US" w:eastAsia="en-US"/>
        </w:rPr>
        <w:t>Exceptional</w:t>
      </w:r>
      <w:r w:rsidR="00F14DF6">
        <w:rPr>
          <w:b/>
          <w:lang w:val="en-US" w:eastAsia="en-US"/>
        </w:rPr>
        <w:t xml:space="preserve"> Circumstances</w:t>
      </w:r>
    </w:p>
    <w:p w14:paraId="69EE4813" w14:textId="7A86DC55" w:rsidR="00A41D12" w:rsidRPr="00162417" w:rsidRDefault="00A41D12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b/>
          <w:lang w:val="en-US" w:eastAsia="en-US"/>
        </w:rPr>
      </w:pPr>
      <w:r>
        <w:rPr>
          <w:rFonts w:cs="Arial"/>
          <w:szCs w:val="24"/>
          <w:lang w:eastAsia="en-US"/>
        </w:rPr>
        <w:t>Please comment on the procedures in place for the consideration of exceptional circumstances</w:t>
      </w:r>
    </w:p>
    <w:p w14:paraId="29302C1C" w14:textId="301FA3DE" w:rsidR="00F14DF6" w:rsidRDefault="0099538E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13</w:t>
      </w:r>
      <w:r w:rsidR="00DF1137">
        <w:rPr>
          <w:b/>
          <w:szCs w:val="22"/>
          <w:lang w:val="en-US" w:eastAsia="en-US"/>
        </w:rPr>
        <w:t>.</w:t>
      </w:r>
      <w:r>
        <w:rPr>
          <w:b/>
          <w:szCs w:val="22"/>
          <w:lang w:val="en-US" w:eastAsia="en-US"/>
        </w:rPr>
        <w:t xml:space="preserve"> </w:t>
      </w:r>
      <w:r w:rsidR="00F14DF6">
        <w:rPr>
          <w:b/>
          <w:szCs w:val="22"/>
          <w:lang w:val="en-US" w:eastAsia="en-US"/>
        </w:rPr>
        <w:t>Discretion</w:t>
      </w:r>
    </w:p>
    <w:p w14:paraId="24126951" w14:textId="44F17F4C" w:rsidR="0099538E" w:rsidRDefault="0099538E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b/>
          <w:szCs w:val="22"/>
          <w:lang w:val="en-US" w:eastAsia="en-US"/>
        </w:rPr>
      </w:pPr>
      <w:r>
        <w:rPr>
          <w:rFonts w:cs="Arial"/>
          <w:szCs w:val="24"/>
          <w:lang w:eastAsia="en-US"/>
        </w:rPr>
        <w:t>Please comment on the procedures in place for the consistent application of any discretion in relation to academic judgement (e.g. in relation to decisions at borderlines).</w:t>
      </w:r>
    </w:p>
    <w:p w14:paraId="3A5AF2B1" w14:textId="48DE4899" w:rsidR="003D45C1" w:rsidRDefault="0099538E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14</w:t>
      </w:r>
      <w:r w:rsidR="00DF1137">
        <w:rPr>
          <w:b/>
          <w:szCs w:val="22"/>
          <w:lang w:val="en-US" w:eastAsia="en-US"/>
        </w:rPr>
        <w:t>.</w:t>
      </w:r>
      <w:r>
        <w:rPr>
          <w:b/>
          <w:szCs w:val="22"/>
          <w:lang w:val="en-US" w:eastAsia="en-US"/>
        </w:rPr>
        <w:t xml:space="preserve"> </w:t>
      </w:r>
      <w:r w:rsidR="003D45C1" w:rsidRPr="00162417">
        <w:rPr>
          <w:b/>
          <w:szCs w:val="22"/>
          <w:lang w:val="en-US" w:eastAsia="en-US"/>
        </w:rPr>
        <w:t>Other</w:t>
      </w:r>
    </w:p>
    <w:p w14:paraId="31D872C0" w14:textId="3D43D75E" w:rsidR="0099538E" w:rsidRDefault="0099538E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rFonts w:cs="Arial"/>
          <w:szCs w:val="24"/>
          <w:lang w:eastAsia="en-US"/>
        </w:rPr>
      </w:pPr>
      <w:r w:rsidRPr="00162417">
        <w:rPr>
          <w:rFonts w:cs="Arial"/>
          <w:szCs w:val="24"/>
          <w:lang w:eastAsia="en-US"/>
        </w:rPr>
        <w:t>Have issues raised in previous report(s) been addressed to your satisfaction?</w:t>
      </w:r>
    </w:p>
    <w:p w14:paraId="5A93D888" w14:textId="4AE67073" w:rsidR="0099538E" w:rsidRDefault="0099538E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A</w:t>
      </w:r>
      <w:r w:rsidRPr="00162417">
        <w:rPr>
          <w:rFonts w:cs="Arial"/>
          <w:szCs w:val="24"/>
          <w:lang w:eastAsia="en-US"/>
        </w:rPr>
        <w:t xml:space="preserve">ny matters not covered elsewhere on this </w:t>
      </w:r>
      <w:r>
        <w:rPr>
          <w:rFonts w:cs="Arial"/>
          <w:szCs w:val="24"/>
          <w:lang w:eastAsia="en-US"/>
        </w:rPr>
        <w:t>form.</w:t>
      </w:r>
    </w:p>
    <w:p w14:paraId="0BEA5F7E" w14:textId="12940454" w:rsidR="007500BC" w:rsidRDefault="0099538E" w:rsidP="0099538E">
      <w:pPr>
        <w:keepNext/>
        <w:tabs>
          <w:tab w:val="left" w:pos="540"/>
        </w:tabs>
        <w:spacing w:before="120" w:after="120" w:line="240" w:lineRule="auto"/>
        <w:outlineLvl w:val="4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16</w:t>
      </w:r>
      <w:r w:rsidR="00DF1137">
        <w:rPr>
          <w:b/>
          <w:szCs w:val="22"/>
          <w:lang w:val="en-US" w:eastAsia="en-US"/>
        </w:rPr>
        <w:t>.</w:t>
      </w:r>
      <w:r>
        <w:rPr>
          <w:b/>
          <w:szCs w:val="22"/>
          <w:lang w:val="en-US" w:eastAsia="en-US"/>
        </w:rPr>
        <w:t xml:space="preserve"> </w:t>
      </w:r>
      <w:r w:rsidR="007500BC">
        <w:rPr>
          <w:b/>
          <w:szCs w:val="22"/>
          <w:lang w:val="en-US" w:eastAsia="en-US"/>
        </w:rPr>
        <w:t>Completing a term of office</w:t>
      </w:r>
    </w:p>
    <w:p w14:paraId="0718BBDE" w14:textId="71A27BC6" w:rsidR="0099538E" w:rsidRDefault="0099538E" w:rsidP="0099538E">
      <w:pPr>
        <w:tabs>
          <w:tab w:val="left" w:pos="540"/>
        </w:tabs>
        <w:spacing w:before="120" w:after="120" w:line="240" w:lineRule="auto"/>
        <w:rPr>
          <w:b/>
          <w:szCs w:val="22"/>
          <w:lang w:val="en-US" w:eastAsia="en-US"/>
        </w:rPr>
      </w:pPr>
      <w:r w:rsidRPr="0099538E">
        <w:rPr>
          <w:rFonts w:cs="Arial"/>
          <w:bCs/>
          <w:szCs w:val="24"/>
          <w:lang w:eastAsia="en-US"/>
        </w:rPr>
        <w:t>For external examiners completing a term of office</w:t>
      </w:r>
      <w:r>
        <w:rPr>
          <w:rFonts w:cs="Arial"/>
          <w:bCs/>
          <w:szCs w:val="24"/>
          <w:lang w:eastAsia="en-US"/>
        </w:rPr>
        <w:t>:</w:t>
      </w:r>
      <w:r w:rsidRPr="00162417">
        <w:rPr>
          <w:rFonts w:cs="Arial"/>
          <w:szCs w:val="24"/>
          <w:lang w:eastAsia="en-US"/>
        </w:rPr>
        <w:t xml:space="preserve"> provide an overview of your term of office.</w:t>
      </w:r>
    </w:p>
    <w:p w14:paraId="2625B2C6" w14:textId="77777777" w:rsidR="0099538E" w:rsidRPr="00162417" w:rsidRDefault="0099538E" w:rsidP="0099538E">
      <w:pPr>
        <w:keepNext/>
        <w:tabs>
          <w:tab w:val="left" w:pos="540"/>
        </w:tabs>
        <w:spacing w:before="120" w:after="120" w:line="240" w:lineRule="auto"/>
        <w:ind w:left="-360"/>
        <w:outlineLvl w:val="4"/>
        <w:rPr>
          <w:b/>
          <w:szCs w:val="22"/>
          <w:lang w:val="en-US" w:eastAsia="en-US"/>
        </w:rPr>
      </w:pPr>
    </w:p>
    <w:p w14:paraId="3BC488D4" w14:textId="77777777" w:rsidR="003D45C1" w:rsidRPr="00162417" w:rsidRDefault="003D45C1" w:rsidP="0099538E">
      <w:pPr>
        <w:tabs>
          <w:tab w:val="left" w:pos="540"/>
        </w:tabs>
        <w:spacing w:before="120" w:after="120" w:line="240" w:lineRule="auto"/>
        <w:rPr>
          <w:rFonts w:cs="Arial"/>
          <w:b/>
          <w:sz w:val="24"/>
          <w:szCs w:val="24"/>
          <w:lang w:eastAsia="en-US"/>
        </w:rPr>
      </w:pPr>
      <w:r w:rsidRPr="00162417">
        <w:rPr>
          <w:rFonts w:cs="Arial"/>
          <w:b/>
          <w:sz w:val="24"/>
          <w:szCs w:val="24"/>
          <w:lang w:eastAsia="en-US"/>
        </w:rPr>
        <w:t>Part C:  Appendix to the External Examiner Report - Checklist</w:t>
      </w:r>
    </w:p>
    <w:sectPr w:rsidR="003D45C1" w:rsidRPr="00162417" w:rsidSect="0099538E">
      <w:pgSz w:w="11907" w:h="16840" w:code="9"/>
      <w:pgMar w:top="1276" w:right="1043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459D" w14:textId="77777777" w:rsidR="00D3381B" w:rsidRDefault="00D3381B">
      <w:pPr>
        <w:spacing w:line="240" w:lineRule="auto"/>
      </w:pPr>
      <w:r>
        <w:separator/>
      </w:r>
    </w:p>
  </w:endnote>
  <w:endnote w:type="continuationSeparator" w:id="0">
    <w:p w14:paraId="66EF1D2A" w14:textId="77777777" w:rsidR="00D3381B" w:rsidRDefault="00D33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F1C8" w14:textId="77777777" w:rsidR="00D3381B" w:rsidRDefault="00D3381B">
      <w:pPr>
        <w:spacing w:line="240" w:lineRule="auto"/>
      </w:pPr>
      <w:r>
        <w:separator/>
      </w:r>
    </w:p>
  </w:footnote>
  <w:footnote w:type="continuationSeparator" w:id="0">
    <w:p w14:paraId="6886E159" w14:textId="77777777" w:rsidR="00D3381B" w:rsidRDefault="00D33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9632D"/>
    <w:multiLevelType w:val="hybridMultilevel"/>
    <w:tmpl w:val="7BF85764"/>
    <w:lvl w:ilvl="0" w:tplc="B6045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2311EA8"/>
    <w:multiLevelType w:val="hybridMultilevel"/>
    <w:tmpl w:val="51EAD40C"/>
    <w:lvl w:ilvl="0" w:tplc="5E7411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2608"/>
    <w:multiLevelType w:val="hybridMultilevel"/>
    <w:tmpl w:val="952C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074C8"/>
    <w:multiLevelType w:val="hybridMultilevel"/>
    <w:tmpl w:val="51EAD40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B6EF6"/>
    <w:multiLevelType w:val="hybridMultilevel"/>
    <w:tmpl w:val="5FCC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F09C6"/>
    <w:multiLevelType w:val="hybridMultilevel"/>
    <w:tmpl w:val="73BEDD1A"/>
    <w:lvl w:ilvl="0" w:tplc="987EAB5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83620">
    <w:abstractNumId w:val="6"/>
  </w:num>
  <w:num w:numId="2" w16cid:durableId="1036657036">
    <w:abstractNumId w:val="1"/>
  </w:num>
  <w:num w:numId="3" w16cid:durableId="187565159">
    <w:abstractNumId w:val="3"/>
  </w:num>
  <w:num w:numId="4" w16cid:durableId="49232814">
    <w:abstractNumId w:val="5"/>
  </w:num>
  <w:num w:numId="5" w16cid:durableId="25300780">
    <w:abstractNumId w:val="0"/>
  </w:num>
  <w:num w:numId="6" w16cid:durableId="532813712">
    <w:abstractNumId w:val="2"/>
  </w:num>
  <w:num w:numId="7" w16cid:durableId="1770078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1"/>
    <w:rsid w:val="00011F1D"/>
    <w:rsid w:val="000519AD"/>
    <w:rsid w:val="00071228"/>
    <w:rsid w:val="0008322F"/>
    <w:rsid w:val="00087628"/>
    <w:rsid w:val="00091FE5"/>
    <w:rsid w:val="000A409A"/>
    <w:rsid w:val="000C0AA1"/>
    <w:rsid w:val="000C6602"/>
    <w:rsid w:val="000D36FA"/>
    <w:rsid w:val="00104575"/>
    <w:rsid w:val="00111365"/>
    <w:rsid w:val="001165D3"/>
    <w:rsid w:val="00120C53"/>
    <w:rsid w:val="0018593A"/>
    <w:rsid w:val="001930B6"/>
    <w:rsid w:val="00194DE6"/>
    <w:rsid w:val="001B3FA3"/>
    <w:rsid w:val="001C7067"/>
    <w:rsid w:val="001F3036"/>
    <w:rsid w:val="00224E6A"/>
    <w:rsid w:val="00227DBC"/>
    <w:rsid w:val="0023571C"/>
    <w:rsid w:val="00254D19"/>
    <w:rsid w:val="0026144C"/>
    <w:rsid w:val="00290851"/>
    <w:rsid w:val="002916DD"/>
    <w:rsid w:val="00292B88"/>
    <w:rsid w:val="002B75BF"/>
    <w:rsid w:val="002C3A40"/>
    <w:rsid w:val="002C3CBC"/>
    <w:rsid w:val="002E5A50"/>
    <w:rsid w:val="00311AE3"/>
    <w:rsid w:val="00316A58"/>
    <w:rsid w:val="00331BAF"/>
    <w:rsid w:val="0036251C"/>
    <w:rsid w:val="00364035"/>
    <w:rsid w:val="00395324"/>
    <w:rsid w:val="003A0348"/>
    <w:rsid w:val="003D45C1"/>
    <w:rsid w:val="003D48F9"/>
    <w:rsid w:val="003E1422"/>
    <w:rsid w:val="003F0370"/>
    <w:rsid w:val="00414856"/>
    <w:rsid w:val="00415DB4"/>
    <w:rsid w:val="00424A3F"/>
    <w:rsid w:val="00425854"/>
    <w:rsid w:val="00443343"/>
    <w:rsid w:val="00451C0C"/>
    <w:rsid w:val="00460EE4"/>
    <w:rsid w:val="0046209D"/>
    <w:rsid w:val="0048191C"/>
    <w:rsid w:val="00493512"/>
    <w:rsid w:val="004B660C"/>
    <w:rsid w:val="004C40A9"/>
    <w:rsid w:val="004F473B"/>
    <w:rsid w:val="00512218"/>
    <w:rsid w:val="005327C1"/>
    <w:rsid w:val="005378B1"/>
    <w:rsid w:val="0055594B"/>
    <w:rsid w:val="00577543"/>
    <w:rsid w:val="0058230E"/>
    <w:rsid w:val="005B167E"/>
    <w:rsid w:val="005B6949"/>
    <w:rsid w:val="005D02D0"/>
    <w:rsid w:val="005D0CC4"/>
    <w:rsid w:val="00604882"/>
    <w:rsid w:val="006075B5"/>
    <w:rsid w:val="0061549C"/>
    <w:rsid w:val="00656C00"/>
    <w:rsid w:val="00672A1C"/>
    <w:rsid w:val="006912CC"/>
    <w:rsid w:val="0070535A"/>
    <w:rsid w:val="007060C2"/>
    <w:rsid w:val="007172E5"/>
    <w:rsid w:val="0073163A"/>
    <w:rsid w:val="007500BC"/>
    <w:rsid w:val="007A1368"/>
    <w:rsid w:val="007A6E7F"/>
    <w:rsid w:val="007C68C9"/>
    <w:rsid w:val="00803AF4"/>
    <w:rsid w:val="0081186E"/>
    <w:rsid w:val="00830430"/>
    <w:rsid w:val="00843EEE"/>
    <w:rsid w:val="00846867"/>
    <w:rsid w:val="00862666"/>
    <w:rsid w:val="008676B8"/>
    <w:rsid w:val="00877BC3"/>
    <w:rsid w:val="00886A5C"/>
    <w:rsid w:val="00892E15"/>
    <w:rsid w:val="00894142"/>
    <w:rsid w:val="008A2D56"/>
    <w:rsid w:val="008A5733"/>
    <w:rsid w:val="008E50AD"/>
    <w:rsid w:val="009003E2"/>
    <w:rsid w:val="00905A9F"/>
    <w:rsid w:val="00905DAD"/>
    <w:rsid w:val="009118CC"/>
    <w:rsid w:val="00926A82"/>
    <w:rsid w:val="0099538E"/>
    <w:rsid w:val="009B0069"/>
    <w:rsid w:val="00A15F08"/>
    <w:rsid w:val="00A41D12"/>
    <w:rsid w:val="00A860DA"/>
    <w:rsid w:val="00A9378F"/>
    <w:rsid w:val="00AB5CE2"/>
    <w:rsid w:val="00AC585F"/>
    <w:rsid w:val="00AE4B7A"/>
    <w:rsid w:val="00B341C1"/>
    <w:rsid w:val="00B675B3"/>
    <w:rsid w:val="00B67BDC"/>
    <w:rsid w:val="00BC0C86"/>
    <w:rsid w:val="00BC4575"/>
    <w:rsid w:val="00BD0237"/>
    <w:rsid w:val="00BE1083"/>
    <w:rsid w:val="00C1059E"/>
    <w:rsid w:val="00C466A5"/>
    <w:rsid w:val="00C51771"/>
    <w:rsid w:val="00C56C8D"/>
    <w:rsid w:val="00C677AF"/>
    <w:rsid w:val="00C754AD"/>
    <w:rsid w:val="00CA7762"/>
    <w:rsid w:val="00CE5E11"/>
    <w:rsid w:val="00CF17E9"/>
    <w:rsid w:val="00D05ACB"/>
    <w:rsid w:val="00D10719"/>
    <w:rsid w:val="00D3381B"/>
    <w:rsid w:val="00D36689"/>
    <w:rsid w:val="00D57CF0"/>
    <w:rsid w:val="00D67E12"/>
    <w:rsid w:val="00D70757"/>
    <w:rsid w:val="00D85446"/>
    <w:rsid w:val="00D868EB"/>
    <w:rsid w:val="00D94911"/>
    <w:rsid w:val="00DA35F3"/>
    <w:rsid w:val="00DA6E9D"/>
    <w:rsid w:val="00DC01F4"/>
    <w:rsid w:val="00DC3D0D"/>
    <w:rsid w:val="00DE7DCB"/>
    <w:rsid w:val="00DF10E2"/>
    <w:rsid w:val="00DF1137"/>
    <w:rsid w:val="00E01B60"/>
    <w:rsid w:val="00E12EE3"/>
    <w:rsid w:val="00E13405"/>
    <w:rsid w:val="00E1411F"/>
    <w:rsid w:val="00E1543E"/>
    <w:rsid w:val="00E3029C"/>
    <w:rsid w:val="00EA1473"/>
    <w:rsid w:val="00EF0129"/>
    <w:rsid w:val="00F10BFC"/>
    <w:rsid w:val="00F14DF6"/>
    <w:rsid w:val="00F2092C"/>
    <w:rsid w:val="00F20A21"/>
    <w:rsid w:val="00F305FA"/>
    <w:rsid w:val="00F36382"/>
    <w:rsid w:val="00F5044F"/>
    <w:rsid w:val="00F50579"/>
    <w:rsid w:val="00F55A38"/>
    <w:rsid w:val="00F96B2B"/>
    <w:rsid w:val="00FC1CEC"/>
    <w:rsid w:val="00FE2307"/>
    <w:rsid w:val="00FE3993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0A26E"/>
  <w15:docId w15:val="{90839F3D-419D-4F31-899A-8AC12CC2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5C1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D45C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45C1"/>
    <w:rPr>
      <w:rFonts w:ascii="Arial" w:eastAsiaTheme="majorEastAsia" w:hAnsi="Arial" w:cstheme="majorBidi"/>
      <w:b/>
      <w:bCs/>
      <w:color w:val="000000" w:themeColor="text1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45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C1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D45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C1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C1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95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50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68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68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68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FE2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F.Stewart</dc:creator>
  <cp:lastModifiedBy>Alex Baker (a.baker)</cp:lastModifiedBy>
  <cp:revision>12</cp:revision>
  <cp:lastPrinted>2012-08-28T14:16:00Z</cp:lastPrinted>
  <dcterms:created xsi:type="dcterms:W3CDTF">2023-06-05T09:47:00Z</dcterms:created>
  <dcterms:modified xsi:type="dcterms:W3CDTF">2023-06-05T10:01:00Z</dcterms:modified>
</cp:coreProperties>
</file>