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95FCB" w14:textId="4B0A6AE9" w:rsidR="00655A53" w:rsidRDefault="00530E5D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33AEAF6" wp14:editId="635FEFA3">
            <wp:simplePos x="0" y="0"/>
            <wp:positionH relativeFrom="rightMargin">
              <wp:posOffset>-1130935</wp:posOffset>
            </wp:positionH>
            <wp:positionV relativeFrom="topMargin">
              <wp:posOffset>257175</wp:posOffset>
            </wp:positionV>
            <wp:extent cx="1800000" cy="723600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baker\Downloads\logo-new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72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88CE93" w14:textId="443833F4" w:rsidR="00530E5D" w:rsidRPr="00530E5D" w:rsidRDefault="00530E5D" w:rsidP="00C7020A">
      <w:pPr>
        <w:jc w:val="center"/>
        <w:rPr>
          <w:b/>
          <w:bCs/>
          <w:sz w:val="28"/>
          <w:szCs w:val="28"/>
        </w:rPr>
      </w:pPr>
      <w:r w:rsidRPr="00530E5D">
        <w:rPr>
          <w:b/>
          <w:bCs/>
          <w:sz w:val="28"/>
          <w:szCs w:val="28"/>
        </w:rPr>
        <w:t>Research Masters (</w:t>
      </w:r>
      <w:proofErr w:type="spellStart"/>
      <w:r w:rsidRPr="00530E5D">
        <w:rPr>
          <w:b/>
          <w:bCs/>
          <w:sz w:val="28"/>
          <w:szCs w:val="28"/>
        </w:rPr>
        <w:t>MRes</w:t>
      </w:r>
      <w:proofErr w:type="spellEnd"/>
      <w:r w:rsidRPr="00530E5D">
        <w:rPr>
          <w:b/>
          <w:bCs/>
          <w:sz w:val="28"/>
          <w:szCs w:val="28"/>
        </w:rPr>
        <w:t>) Framework</w:t>
      </w:r>
    </w:p>
    <w:p w14:paraId="192071A1" w14:textId="6E5E5814" w:rsidR="00530E5D" w:rsidRPr="00530E5D" w:rsidRDefault="00530E5D">
      <w:pPr>
        <w:rPr>
          <w:b/>
          <w:bCs/>
        </w:rPr>
      </w:pPr>
      <w:r w:rsidRPr="00530E5D">
        <w:rPr>
          <w:b/>
          <w:bCs/>
        </w:rPr>
        <w:t xml:space="preserve">Scope </w:t>
      </w:r>
    </w:p>
    <w:p w14:paraId="5BBFA1BE" w14:textId="0D780ED5" w:rsidR="00530E5D" w:rsidRDefault="00530E5D" w:rsidP="000D0310">
      <w:pPr>
        <w:pStyle w:val="ListParagraph"/>
        <w:numPr>
          <w:ilvl w:val="0"/>
          <w:numId w:val="1"/>
        </w:numPr>
      </w:pPr>
      <w:r>
        <w:t>This</w:t>
      </w:r>
      <w:r w:rsidR="000D0310">
        <w:t xml:space="preserve"> </w:t>
      </w:r>
      <w:r>
        <w:t xml:space="preserve">Framework sets out the design principles for </w:t>
      </w:r>
      <w:proofErr w:type="spellStart"/>
      <w:r>
        <w:t>MRes</w:t>
      </w:r>
      <w:proofErr w:type="spellEnd"/>
      <w:r>
        <w:t xml:space="preserve"> programmes at York St John University, it applies to all programmes leading to this award. </w:t>
      </w:r>
    </w:p>
    <w:p w14:paraId="73F6BCAD" w14:textId="3251B1CF" w:rsidR="00530E5D" w:rsidRDefault="00530E5D" w:rsidP="000D0310">
      <w:pPr>
        <w:pStyle w:val="ListParagraph"/>
        <w:numPr>
          <w:ilvl w:val="0"/>
          <w:numId w:val="1"/>
        </w:numPr>
      </w:pPr>
      <w:r>
        <w:t xml:space="preserve">The Framework should be read in conjunction with the </w:t>
      </w:r>
      <w:r w:rsidR="003B1DE2">
        <w:t xml:space="preserve">University’s </w:t>
      </w:r>
      <w:hyperlink r:id="rId11" w:history="1">
        <w:r w:rsidR="003B1DE2" w:rsidRPr="00BA1EA8">
          <w:rPr>
            <w:rStyle w:val="Hyperlink"/>
          </w:rPr>
          <w:t>regulations</w:t>
        </w:r>
      </w:hyperlink>
      <w:r w:rsidR="003B1DE2">
        <w:t xml:space="preserve"> for T</w:t>
      </w:r>
      <w:r w:rsidR="00BA1EA8">
        <w:t>aught Postgraduate Awards and Research Degree Awards.</w:t>
      </w:r>
    </w:p>
    <w:p w14:paraId="1A1B1F97" w14:textId="51E52F55" w:rsidR="00CD4FE6" w:rsidRPr="00C7020A" w:rsidRDefault="00CD4FE6" w:rsidP="000D0310">
      <w:pPr>
        <w:rPr>
          <w:b/>
          <w:bCs/>
        </w:rPr>
      </w:pPr>
      <w:r w:rsidRPr="00C7020A">
        <w:rPr>
          <w:b/>
          <w:bCs/>
        </w:rPr>
        <w:t>Designation</w:t>
      </w:r>
    </w:p>
    <w:p w14:paraId="4BA20001" w14:textId="5783098D" w:rsidR="00CD4FE6" w:rsidRPr="00C7020A" w:rsidRDefault="00CD4FE6" w:rsidP="00C7020A">
      <w:pPr>
        <w:rPr>
          <w:i/>
          <w:iCs/>
        </w:rPr>
      </w:pPr>
      <w:r>
        <w:t xml:space="preserve">The </w:t>
      </w:r>
      <w:proofErr w:type="spellStart"/>
      <w:r>
        <w:t>MRes</w:t>
      </w:r>
      <w:proofErr w:type="spellEnd"/>
      <w:r>
        <w:t xml:space="preserve"> has been designated as a research programme. In writing the Framework, we have considered the Office for Students </w:t>
      </w:r>
      <w:hyperlink r:id="rId12" w:history="1">
        <w:r w:rsidRPr="000D0310">
          <w:rPr>
            <w:rStyle w:val="Hyperlink"/>
          </w:rPr>
          <w:t>definition</w:t>
        </w:r>
      </w:hyperlink>
      <w:r>
        <w:t xml:space="preserve"> of Postgraduate Research, this is paramount when designing an </w:t>
      </w:r>
      <w:proofErr w:type="spellStart"/>
      <w:r>
        <w:t>MRes</w:t>
      </w:r>
      <w:proofErr w:type="spellEnd"/>
      <w:r>
        <w:t xml:space="preserve">: </w:t>
      </w:r>
    </w:p>
    <w:p w14:paraId="1C628BAD" w14:textId="1EDAC983" w:rsidR="000D0310" w:rsidRPr="00CD4FE6" w:rsidRDefault="000D0310" w:rsidP="000D0310">
      <w:pPr>
        <w:rPr>
          <w:i/>
          <w:iCs/>
        </w:rPr>
      </w:pPr>
      <w:r w:rsidRPr="000B428F">
        <w:rPr>
          <w:i/>
          <w:iCs/>
        </w:rPr>
        <w:t>Postgraduate research students are those whose qualification aim is a research based higher degree. This is a postgraduate programme comprising a research component (including a requirement to produce original work) which is larger in terms of student effort than any accompanying taught component.</w:t>
      </w:r>
    </w:p>
    <w:p w14:paraId="13BE653D" w14:textId="0AAC9BF8" w:rsidR="000D0310" w:rsidRPr="000D0310" w:rsidRDefault="000D0310">
      <w:pPr>
        <w:rPr>
          <w:b/>
          <w:bCs/>
        </w:rPr>
      </w:pPr>
      <w:r w:rsidRPr="000D0310">
        <w:rPr>
          <w:b/>
          <w:bCs/>
        </w:rPr>
        <w:t>Programme Structure</w:t>
      </w:r>
      <w:r w:rsidR="00B00F48">
        <w:rPr>
          <w:b/>
          <w:bCs/>
        </w:rPr>
        <w:t xml:space="preserve"> – taught modules </w:t>
      </w:r>
    </w:p>
    <w:p w14:paraId="0A5EAB90" w14:textId="07720975" w:rsidR="000D0310" w:rsidRDefault="000D0310" w:rsidP="000D0310">
      <w:pPr>
        <w:pStyle w:val="ListParagraph"/>
        <w:numPr>
          <w:ilvl w:val="0"/>
          <w:numId w:val="3"/>
        </w:numPr>
      </w:pPr>
      <w:r>
        <w:t>1 x 30 credit module – Research Methods and Techniques in contemporary research enquiry.  This should be in the context of the subject area discipline with learning outcomes to be determined by the School.</w:t>
      </w:r>
    </w:p>
    <w:p w14:paraId="3CE17764" w14:textId="305B80DD" w:rsidR="000D0310" w:rsidRDefault="000D0310" w:rsidP="000D0310">
      <w:pPr>
        <w:pStyle w:val="ListParagraph"/>
        <w:numPr>
          <w:ilvl w:val="0"/>
          <w:numId w:val="3"/>
        </w:numPr>
      </w:pPr>
      <w:r>
        <w:t xml:space="preserve">1 x 30 credit module – Latest Developments in the Field. Learning outcomes to be determined by the School. This module should allow the student to start reflecting on their chosen thesis topic. </w:t>
      </w:r>
    </w:p>
    <w:p w14:paraId="416B7461" w14:textId="38D53DEB" w:rsidR="0042556C" w:rsidRPr="009343C4" w:rsidRDefault="006F68E2" w:rsidP="000D0310">
      <w:pPr>
        <w:pStyle w:val="ListParagraph"/>
        <w:numPr>
          <w:ilvl w:val="0"/>
          <w:numId w:val="3"/>
        </w:numPr>
      </w:pPr>
      <w:r w:rsidRPr="009343C4">
        <w:t xml:space="preserve">As per the </w:t>
      </w:r>
      <w:hyperlink r:id="rId13" w:history="1">
        <w:r w:rsidRPr="009343C4">
          <w:rPr>
            <w:rStyle w:val="Hyperlink"/>
          </w:rPr>
          <w:t>Academic Framework</w:t>
        </w:r>
      </w:hyperlink>
      <w:r w:rsidRPr="009343C4">
        <w:t>, 30 credits should equate to 300 hours of study.</w:t>
      </w:r>
    </w:p>
    <w:p w14:paraId="2888C2C1" w14:textId="165C0787" w:rsidR="000D0310" w:rsidRPr="009343C4" w:rsidRDefault="000D0310" w:rsidP="000D0310">
      <w:pPr>
        <w:pStyle w:val="ListParagraph"/>
        <w:numPr>
          <w:ilvl w:val="0"/>
          <w:numId w:val="3"/>
        </w:numPr>
      </w:pPr>
      <w:r w:rsidRPr="009343C4">
        <w:t xml:space="preserve">For each of these modules, we would expect </w:t>
      </w:r>
      <w:r w:rsidR="00B00F48" w:rsidRPr="009343C4">
        <w:t>an assessment load of 5000 words or equivalent</w:t>
      </w:r>
      <w:r w:rsidR="000B428F" w:rsidRPr="009343C4">
        <w:t>.</w:t>
      </w:r>
    </w:p>
    <w:p w14:paraId="336C3D3E" w14:textId="32C5DE9E" w:rsidR="00B00F48" w:rsidRPr="009343C4" w:rsidRDefault="00B00F48" w:rsidP="000D0310">
      <w:pPr>
        <w:pStyle w:val="ListParagraph"/>
        <w:numPr>
          <w:ilvl w:val="0"/>
          <w:numId w:val="3"/>
        </w:numPr>
      </w:pPr>
      <w:r w:rsidRPr="009343C4">
        <w:t>In exceptional circumstances (to meet the needs of PSRBs or funding bodies) some optionality will be permitted within the taught modules.  However</w:t>
      </w:r>
      <w:r w:rsidR="00C5714C" w:rsidRPr="009343C4">
        <w:t>,</w:t>
      </w:r>
      <w:r w:rsidRPr="009343C4">
        <w:t xml:space="preserve"> all modules must be 30 credits and address issues associated with research and/or research methodology. </w:t>
      </w:r>
    </w:p>
    <w:p w14:paraId="47594DD6" w14:textId="7154C2B6" w:rsidR="00E83C09" w:rsidRPr="009343C4" w:rsidRDefault="00E83C09" w:rsidP="000D0310">
      <w:pPr>
        <w:pStyle w:val="ListParagraph"/>
        <w:numPr>
          <w:ilvl w:val="0"/>
          <w:numId w:val="3"/>
        </w:numPr>
      </w:pPr>
      <w:r w:rsidRPr="009343C4">
        <w:t>All assessments will be graded.</w:t>
      </w:r>
    </w:p>
    <w:p w14:paraId="0AA68B50" w14:textId="496A60CD" w:rsidR="00241023" w:rsidRPr="009343C4" w:rsidRDefault="00B00F48" w:rsidP="00241023">
      <w:pPr>
        <w:pStyle w:val="ListParagraph"/>
        <w:numPr>
          <w:ilvl w:val="0"/>
          <w:numId w:val="3"/>
        </w:numPr>
      </w:pPr>
      <w:r w:rsidRPr="009343C4">
        <w:t>These modules will be “must pass” and non-</w:t>
      </w:r>
      <w:proofErr w:type="spellStart"/>
      <w:r w:rsidRPr="009343C4">
        <w:t>compensatable</w:t>
      </w:r>
      <w:proofErr w:type="spellEnd"/>
      <w:r w:rsidR="00E83C09" w:rsidRPr="009343C4">
        <w:t>,</w:t>
      </w:r>
      <w:r w:rsidRPr="009343C4">
        <w:t xml:space="preserve"> in order to ensure that students are able to undertake research independently, safely and ethically.</w:t>
      </w:r>
      <w:r w:rsidR="00241023" w:rsidRPr="009343C4">
        <w:t xml:space="preserve"> </w:t>
      </w:r>
    </w:p>
    <w:p w14:paraId="3F23970E" w14:textId="28D42072" w:rsidR="00241023" w:rsidRPr="009343C4" w:rsidRDefault="00241023" w:rsidP="00241023">
      <w:pPr>
        <w:pStyle w:val="ListParagraph"/>
        <w:numPr>
          <w:ilvl w:val="0"/>
          <w:numId w:val="3"/>
        </w:numPr>
      </w:pPr>
      <w:r w:rsidRPr="009343C4">
        <w:t>Students cannot progress on to the thesis module until both taught modules are passed.</w:t>
      </w:r>
    </w:p>
    <w:p w14:paraId="1D6B6CC7" w14:textId="3756E50B" w:rsidR="00B00F48" w:rsidRPr="009343C4" w:rsidRDefault="00B00F48" w:rsidP="00B00F48">
      <w:pPr>
        <w:rPr>
          <w:b/>
          <w:bCs/>
        </w:rPr>
      </w:pPr>
      <w:r w:rsidRPr="009343C4">
        <w:rPr>
          <w:b/>
          <w:bCs/>
        </w:rPr>
        <w:t>Programme structure – thesis</w:t>
      </w:r>
    </w:p>
    <w:p w14:paraId="0C566AC1" w14:textId="01313CF8" w:rsidR="00B00F48" w:rsidRPr="009343C4" w:rsidRDefault="00B00F48" w:rsidP="00B00F48">
      <w:pPr>
        <w:pStyle w:val="ListParagraph"/>
        <w:numPr>
          <w:ilvl w:val="0"/>
          <w:numId w:val="4"/>
        </w:numPr>
      </w:pPr>
      <w:r w:rsidRPr="009343C4">
        <w:t xml:space="preserve">1 x 120 credit module – Thesis (production of original work).  </w:t>
      </w:r>
    </w:p>
    <w:p w14:paraId="58FC95A3" w14:textId="407BD7D5" w:rsidR="00B00F48" w:rsidRPr="009343C4" w:rsidRDefault="00B00F48" w:rsidP="00B00F48">
      <w:pPr>
        <w:pStyle w:val="ListParagraph"/>
        <w:numPr>
          <w:ilvl w:val="0"/>
          <w:numId w:val="4"/>
        </w:numPr>
      </w:pPr>
      <w:r w:rsidRPr="009343C4">
        <w:t>One summative assessment – 20,000 words</w:t>
      </w:r>
      <w:r w:rsidR="0050731A" w:rsidRPr="009343C4">
        <w:t xml:space="preserve"> or equivalent for practice-based programmes</w:t>
      </w:r>
      <w:r w:rsidR="00AA22C6" w:rsidRPr="009343C4">
        <w:t>.</w:t>
      </w:r>
    </w:p>
    <w:p w14:paraId="58A9E7D5" w14:textId="578F5468" w:rsidR="001F2184" w:rsidRPr="009343C4" w:rsidRDefault="001F2184" w:rsidP="00B00F48">
      <w:pPr>
        <w:pStyle w:val="ListParagraph"/>
        <w:numPr>
          <w:ilvl w:val="0"/>
          <w:numId w:val="4"/>
        </w:numPr>
      </w:pPr>
      <w:r w:rsidRPr="009343C4">
        <w:t>Formative assessment is permitted but should not be credit bearing.</w:t>
      </w:r>
    </w:p>
    <w:p w14:paraId="30A60C59" w14:textId="188601A5" w:rsidR="00AD032B" w:rsidRPr="009343C4" w:rsidRDefault="00AD032B" w:rsidP="00B00F48">
      <w:pPr>
        <w:pStyle w:val="ListParagraph"/>
        <w:numPr>
          <w:ilvl w:val="0"/>
          <w:numId w:val="4"/>
        </w:numPr>
      </w:pPr>
      <w:r w:rsidRPr="009343C4">
        <w:t>Title is - Thesis in “title of award”</w:t>
      </w:r>
    </w:p>
    <w:p w14:paraId="67F9CADD" w14:textId="36DAA8A7" w:rsidR="006F68E2" w:rsidRDefault="006F68E2" w:rsidP="006F68E2">
      <w:pPr>
        <w:pStyle w:val="ListParagraph"/>
        <w:numPr>
          <w:ilvl w:val="0"/>
          <w:numId w:val="4"/>
        </w:numPr>
      </w:pPr>
      <w:r w:rsidRPr="009343C4">
        <w:t xml:space="preserve">As per the </w:t>
      </w:r>
      <w:hyperlink r:id="rId14" w:history="1">
        <w:r w:rsidRPr="009343C4">
          <w:rPr>
            <w:rStyle w:val="Hyperlink"/>
          </w:rPr>
          <w:t>Academic Framework</w:t>
        </w:r>
      </w:hyperlink>
      <w:r w:rsidRPr="009343C4">
        <w:t>, 120 credits should equate to 1200 hours of study.</w:t>
      </w:r>
    </w:p>
    <w:p w14:paraId="7D49E82C" w14:textId="40C6858C" w:rsidR="00EF419E" w:rsidRPr="009343C4" w:rsidRDefault="00EF419E" w:rsidP="006F68E2">
      <w:pPr>
        <w:pStyle w:val="ListParagraph"/>
        <w:numPr>
          <w:ilvl w:val="0"/>
          <w:numId w:val="4"/>
        </w:numPr>
      </w:pPr>
      <w:r w:rsidRPr="00EF419E">
        <w:t xml:space="preserve">In cases where students fail the thesis component of the </w:t>
      </w:r>
      <w:proofErr w:type="spellStart"/>
      <w:r w:rsidRPr="00EF419E">
        <w:t>MRes</w:t>
      </w:r>
      <w:proofErr w:type="spellEnd"/>
      <w:r w:rsidRPr="00EF419E">
        <w:t>, they will have an 8-week period in which to resubmit.</w:t>
      </w:r>
    </w:p>
    <w:p w14:paraId="3AFFE3D6" w14:textId="5007374D" w:rsidR="004B7144" w:rsidRPr="004B7144" w:rsidRDefault="004B7144" w:rsidP="00EF419E">
      <w:pPr>
        <w:keepNext/>
        <w:rPr>
          <w:b/>
          <w:bCs/>
        </w:rPr>
      </w:pPr>
      <w:r w:rsidRPr="004B7144">
        <w:rPr>
          <w:b/>
          <w:bCs/>
        </w:rPr>
        <w:lastRenderedPageBreak/>
        <w:t xml:space="preserve">Programme </w:t>
      </w:r>
      <w:r w:rsidR="007E2797">
        <w:rPr>
          <w:b/>
          <w:bCs/>
        </w:rPr>
        <w:t xml:space="preserve">structure – further </w:t>
      </w:r>
      <w:r w:rsidR="000B59B3">
        <w:rPr>
          <w:b/>
          <w:bCs/>
        </w:rPr>
        <w:t>notes</w:t>
      </w:r>
    </w:p>
    <w:p w14:paraId="11E9980F" w14:textId="73944BBD" w:rsidR="004B7144" w:rsidRDefault="004B7144" w:rsidP="004B7144">
      <w:r>
        <w:t xml:space="preserve">Within the programme </w:t>
      </w:r>
      <w:r w:rsidR="00A465E3">
        <w:t xml:space="preserve">and module </w:t>
      </w:r>
      <w:r>
        <w:t>specification</w:t>
      </w:r>
      <w:r w:rsidR="00A465E3">
        <w:t>s</w:t>
      </w:r>
      <w:r>
        <w:t>, colleagues should consider</w:t>
      </w:r>
      <w:r w:rsidR="00687C48">
        <w:t xml:space="preserve"> and note</w:t>
      </w:r>
      <w:r>
        <w:t>:</w:t>
      </w:r>
    </w:p>
    <w:p w14:paraId="46EA819C" w14:textId="0ECAA553" w:rsidR="000B59B3" w:rsidRPr="009343C4" w:rsidRDefault="000B59B3" w:rsidP="004B7144">
      <w:pPr>
        <w:pStyle w:val="ListParagraph"/>
        <w:numPr>
          <w:ilvl w:val="0"/>
          <w:numId w:val="5"/>
        </w:numPr>
      </w:pPr>
      <w:r w:rsidRPr="009343C4">
        <w:t xml:space="preserve">Award title </w:t>
      </w:r>
      <w:r w:rsidR="00A22A74" w:rsidRPr="009343C4">
        <w:t>–</w:t>
      </w:r>
      <w:r w:rsidRPr="009343C4">
        <w:t xml:space="preserve"> </w:t>
      </w:r>
      <w:r w:rsidR="00A22A74" w:rsidRPr="009343C4">
        <w:t>Master of Research in “XXX”</w:t>
      </w:r>
    </w:p>
    <w:p w14:paraId="04705EA0" w14:textId="404A2278" w:rsidR="00A22A74" w:rsidRPr="009343C4" w:rsidRDefault="00A22A74" w:rsidP="004B7144">
      <w:pPr>
        <w:pStyle w:val="ListParagraph"/>
        <w:numPr>
          <w:ilvl w:val="0"/>
          <w:numId w:val="5"/>
        </w:numPr>
      </w:pPr>
      <w:r w:rsidRPr="009343C4">
        <w:t xml:space="preserve">One permitted exit award – PGCert in Research Methods </w:t>
      </w:r>
      <w:r w:rsidR="0050731A" w:rsidRPr="009343C4">
        <w:t>in “</w:t>
      </w:r>
      <w:r w:rsidR="00AD032B" w:rsidRPr="009343C4">
        <w:t>title of award</w:t>
      </w:r>
      <w:r w:rsidR="0050731A" w:rsidRPr="009343C4">
        <w:t>”</w:t>
      </w:r>
    </w:p>
    <w:p w14:paraId="1CB3DCCD" w14:textId="7D84ED00" w:rsidR="004B7144" w:rsidRPr="009343C4" w:rsidRDefault="00D3167F" w:rsidP="004B7144">
      <w:pPr>
        <w:pStyle w:val="ListParagraph"/>
        <w:numPr>
          <w:ilvl w:val="0"/>
          <w:numId w:val="5"/>
        </w:numPr>
      </w:pPr>
      <w:r w:rsidRPr="009343C4">
        <w:t>PLOs should make explicit reference to the production of novel and independent research.</w:t>
      </w:r>
    </w:p>
    <w:p w14:paraId="6F850D23" w14:textId="48A3D1F6" w:rsidR="006F68E2" w:rsidRPr="009343C4" w:rsidRDefault="006F68E2" w:rsidP="004B7144">
      <w:pPr>
        <w:pStyle w:val="ListParagraph"/>
        <w:numPr>
          <w:ilvl w:val="0"/>
          <w:numId w:val="5"/>
        </w:numPr>
      </w:pPr>
      <w:r w:rsidRPr="009343C4">
        <w:t>There should be a minimum of 4 and a maximum of 8 PLOs; these should be clearly mapped so that all cannot be met by completing the Research Methods module.</w:t>
      </w:r>
    </w:p>
    <w:p w14:paraId="10E7DCC1" w14:textId="4EB006B1" w:rsidR="00D3167F" w:rsidRPr="009343C4" w:rsidRDefault="00731907" w:rsidP="004B7144">
      <w:pPr>
        <w:pStyle w:val="ListParagraph"/>
        <w:numPr>
          <w:ilvl w:val="0"/>
          <w:numId w:val="5"/>
        </w:numPr>
      </w:pPr>
      <w:r w:rsidRPr="009343C4">
        <w:t xml:space="preserve">Clear evidence should be provided of training in contemporary research methods, </w:t>
      </w:r>
      <w:r w:rsidR="00A47873" w:rsidRPr="009343C4">
        <w:t>techniques,</w:t>
      </w:r>
      <w:r w:rsidRPr="009343C4">
        <w:t xml:space="preserve"> and approaches to en</w:t>
      </w:r>
      <w:r w:rsidR="009B659B" w:rsidRPr="009343C4">
        <w:t>quiry within the cognate area.</w:t>
      </w:r>
    </w:p>
    <w:p w14:paraId="0A3C1E04" w14:textId="01108C2B" w:rsidR="00687C48" w:rsidRPr="009343C4" w:rsidRDefault="000D5138" w:rsidP="004B7144">
      <w:pPr>
        <w:pStyle w:val="ListParagraph"/>
        <w:numPr>
          <w:ilvl w:val="0"/>
          <w:numId w:val="5"/>
        </w:numPr>
      </w:pPr>
      <w:r w:rsidRPr="009343C4">
        <w:t xml:space="preserve">Programmes should be designed </w:t>
      </w:r>
      <w:r w:rsidR="002E4A10" w:rsidRPr="009343C4">
        <w:t>to ensure that all groups of learners have an equal opportunity to succeed.  Please reference the</w:t>
      </w:r>
      <w:r w:rsidR="00687C48" w:rsidRPr="009343C4">
        <w:t xml:space="preserve"> YSJ </w:t>
      </w:r>
      <w:hyperlink r:id="rId15" w:anchor="explore" w:history="1">
        <w:r w:rsidR="00687C48" w:rsidRPr="009343C4">
          <w:rPr>
            <w:rStyle w:val="Hyperlink"/>
          </w:rPr>
          <w:t>Inclusive Education Framework</w:t>
        </w:r>
      </w:hyperlink>
      <w:r w:rsidR="00A5705B" w:rsidRPr="009343C4">
        <w:t>.</w:t>
      </w:r>
    </w:p>
    <w:p w14:paraId="4958B3B4" w14:textId="7306A11A" w:rsidR="00A5705B" w:rsidRPr="009343C4" w:rsidRDefault="00A3066A" w:rsidP="004B7144">
      <w:pPr>
        <w:pStyle w:val="ListParagraph"/>
        <w:numPr>
          <w:ilvl w:val="0"/>
          <w:numId w:val="5"/>
        </w:numPr>
      </w:pPr>
      <w:r w:rsidRPr="009343C4">
        <w:t xml:space="preserve">RPL </w:t>
      </w:r>
      <w:r w:rsidR="00F64622" w:rsidRPr="009343C4">
        <w:t xml:space="preserve">and advanced standing </w:t>
      </w:r>
      <w:r w:rsidRPr="009343C4">
        <w:t xml:space="preserve">will not be considered </w:t>
      </w:r>
      <w:r w:rsidR="00743060" w:rsidRPr="009343C4">
        <w:t xml:space="preserve">for the </w:t>
      </w:r>
      <w:proofErr w:type="spellStart"/>
      <w:r w:rsidR="00743060" w:rsidRPr="009343C4">
        <w:t>MRes</w:t>
      </w:r>
      <w:proofErr w:type="spellEnd"/>
      <w:r w:rsidR="00743060" w:rsidRPr="009343C4">
        <w:t xml:space="preserve"> programmes</w:t>
      </w:r>
      <w:r w:rsidR="005952C0" w:rsidRPr="009343C4">
        <w:t xml:space="preserve"> as the taught modules are essential </w:t>
      </w:r>
      <w:r w:rsidR="00C50C2D" w:rsidRPr="009343C4">
        <w:t>learning for the thesis.</w:t>
      </w:r>
    </w:p>
    <w:p w14:paraId="1E1E6907" w14:textId="0106C7BF" w:rsidR="00990437" w:rsidRPr="009343C4" w:rsidRDefault="00990437" w:rsidP="004B7144">
      <w:pPr>
        <w:pStyle w:val="ListParagraph"/>
        <w:numPr>
          <w:ilvl w:val="0"/>
          <w:numId w:val="5"/>
        </w:numPr>
      </w:pPr>
      <w:r w:rsidRPr="009343C4">
        <w:t xml:space="preserve">All </w:t>
      </w:r>
      <w:r w:rsidR="000F75AA" w:rsidRPr="009343C4">
        <w:t xml:space="preserve">3 </w:t>
      </w:r>
      <w:r w:rsidRPr="009343C4">
        <w:t xml:space="preserve">modules, taught and thesis, will be exempt from anonymous marking. </w:t>
      </w:r>
    </w:p>
    <w:p w14:paraId="20B4FC90" w14:textId="1339264E" w:rsidR="007C0FAB" w:rsidRPr="009343C4" w:rsidRDefault="007C0FAB" w:rsidP="007C0FAB">
      <w:pPr>
        <w:rPr>
          <w:b/>
          <w:bCs/>
        </w:rPr>
      </w:pPr>
      <w:r w:rsidRPr="009343C4">
        <w:rPr>
          <w:b/>
          <w:bCs/>
        </w:rPr>
        <w:t>Governance</w:t>
      </w:r>
    </w:p>
    <w:p w14:paraId="603219C0" w14:textId="77777777" w:rsidR="007C0FAB" w:rsidRPr="009343C4" w:rsidRDefault="007C0FAB" w:rsidP="007C0FAB">
      <w:pPr>
        <w:pStyle w:val="ListParagraph"/>
        <w:numPr>
          <w:ilvl w:val="0"/>
          <w:numId w:val="6"/>
        </w:numPr>
      </w:pPr>
      <w:r w:rsidRPr="009343C4">
        <w:t>All marks and awards will be ratified at School Assessment Boards and noted at Research Degrees Committee.</w:t>
      </w:r>
    </w:p>
    <w:p w14:paraId="1CBB9EC4" w14:textId="6B4D3A94" w:rsidR="007C0FAB" w:rsidRPr="009343C4" w:rsidRDefault="007C0FAB" w:rsidP="007C0FAB">
      <w:pPr>
        <w:pStyle w:val="ListParagraph"/>
        <w:numPr>
          <w:ilvl w:val="0"/>
          <w:numId w:val="6"/>
        </w:numPr>
      </w:pPr>
      <w:r w:rsidRPr="009343C4">
        <w:t>Schools will be expected to appoint External Examiners following the standard process.</w:t>
      </w:r>
    </w:p>
    <w:p w14:paraId="34CC1081" w14:textId="6CF9F344" w:rsidR="007C0FAB" w:rsidRPr="009343C4" w:rsidRDefault="00370CD7" w:rsidP="007C0FAB">
      <w:pPr>
        <w:pStyle w:val="ListParagraph"/>
        <w:numPr>
          <w:ilvl w:val="0"/>
          <w:numId w:val="6"/>
        </w:numPr>
      </w:pPr>
      <w:proofErr w:type="spellStart"/>
      <w:r w:rsidRPr="009343C4">
        <w:t>MRes</w:t>
      </w:r>
      <w:proofErr w:type="spellEnd"/>
      <w:r w:rsidRPr="009343C4">
        <w:t xml:space="preserve"> students are expected to comply </w:t>
      </w:r>
      <w:r w:rsidR="00687BDC" w:rsidRPr="009343C4">
        <w:t xml:space="preserve">with YSJ’s ethical and integrity </w:t>
      </w:r>
      <w:hyperlink r:id="rId16" w:history="1">
        <w:r w:rsidR="00687BDC" w:rsidRPr="009343C4">
          <w:rPr>
            <w:rStyle w:val="Hyperlink"/>
          </w:rPr>
          <w:t>standards</w:t>
        </w:r>
      </w:hyperlink>
      <w:r w:rsidR="00687BDC" w:rsidRPr="009343C4">
        <w:t xml:space="preserve">. </w:t>
      </w:r>
      <w:r w:rsidR="00F93E8F">
        <w:t xml:space="preserve"> E</w:t>
      </w:r>
      <w:r w:rsidR="00F93E8F" w:rsidRPr="00F93E8F">
        <w:t xml:space="preserve">thical review for </w:t>
      </w:r>
      <w:r w:rsidR="00F27E72">
        <w:t xml:space="preserve">the </w:t>
      </w:r>
      <w:proofErr w:type="spellStart"/>
      <w:r w:rsidR="00F93E8F" w:rsidRPr="00F93E8F">
        <w:t>MRes</w:t>
      </w:r>
      <w:proofErr w:type="spellEnd"/>
      <w:r w:rsidR="00F93E8F" w:rsidRPr="00F93E8F">
        <w:t xml:space="preserve"> programmes </w:t>
      </w:r>
      <w:r w:rsidR="00F27E72">
        <w:t xml:space="preserve">to be carried out </w:t>
      </w:r>
      <w:r w:rsidR="00F93E8F" w:rsidRPr="00F93E8F">
        <w:t>through the PGT process</w:t>
      </w:r>
      <w:r w:rsidR="00F27E72">
        <w:t>.</w:t>
      </w:r>
    </w:p>
    <w:p w14:paraId="72AF458D" w14:textId="72F87EF1" w:rsidR="00F45877" w:rsidRPr="009343C4" w:rsidRDefault="00080C9C" w:rsidP="00F45877">
      <w:pPr>
        <w:rPr>
          <w:b/>
          <w:bCs/>
        </w:rPr>
      </w:pPr>
      <w:r w:rsidRPr="009343C4">
        <w:rPr>
          <w:b/>
          <w:bCs/>
        </w:rPr>
        <w:t>Supervisors</w:t>
      </w:r>
    </w:p>
    <w:p w14:paraId="02A11297" w14:textId="404E7C98" w:rsidR="00080C9C" w:rsidRPr="009343C4" w:rsidRDefault="00080C9C" w:rsidP="00080C9C">
      <w:pPr>
        <w:pStyle w:val="ListParagraph"/>
        <w:numPr>
          <w:ilvl w:val="0"/>
          <w:numId w:val="9"/>
        </w:numPr>
      </w:pPr>
      <w:r w:rsidRPr="009343C4">
        <w:t xml:space="preserve">A minimum of 1 supervisor must be allocated to each student </w:t>
      </w:r>
      <w:r w:rsidR="006632E8" w:rsidRPr="009343C4">
        <w:t>for the 120</w:t>
      </w:r>
      <w:r w:rsidR="00CF4AED" w:rsidRPr="009343C4">
        <w:t>-</w:t>
      </w:r>
      <w:r w:rsidR="006632E8" w:rsidRPr="009343C4">
        <w:t xml:space="preserve">credit thesis module.  Schools may choose to allocate more than one supervisor dependent on the </w:t>
      </w:r>
      <w:r w:rsidR="00CF4AED" w:rsidRPr="009343C4">
        <w:t>subject area.</w:t>
      </w:r>
    </w:p>
    <w:p w14:paraId="3420497A" w14:textId="758D09A2" w:rsidR="00CF4AED" w:rsidRPr="009343C4" w:rsidRDefault="00181C86" w:rsidP="00080C9C">
      <w:pPr>
        <w:pStyle w:val="ListParagraph"/>
        <w:numPr>
          <w:ilvl w:val="0"/>
          <w:numId w:val="9"/>
        </w:numPr>
      </w:pPr>
      <w:r w:rsidRPr="009343C4">
        <w:t>Supervisors can be any member of staff on an academic contract</w:t>
      </w:r>
      <w:r w:rsidR="00F4475B">
        <w:t xml:space="preserve"> which is either permanent</w:t>
      </w:r>
      <w:r w:rsidR="003D1B41">
        <w:t xml:space="preserve"> or fixed term </w:t>
      </w:r>
      <w:r w:rsidR="00A1540B">
        <w:t>to</w:t>
      </w:r>
      <w:r w:rsidR="003D1B41">
        <w:t xml:space="preserve"> end after the submission of the thesis</w:t>
      </w:r>
      <w:r w:rsidRPr="009343C4">
        <w:t xml:space="preserve">, </w:t>
      </w:r>
      <w:r w:rsidR="00A1540B">
        <w:t xml:space="preserve">and </w:t>
      </w:r>
      <w:r w:rsidRPr="009343C4">
        <w:t>who has the appropriate experience and expertise.</w:t>
      </w:r>
      <w:r w:rsidR="00A71813">
        <w:t xml:space="preserve"> </w:t>
      </w:r>
    </w:p>
    <w:p w14:paraId="04A34A95" w14:textId="77777777" w:rsidR="008C5B19" w:rsidRPr="009343C4" w:rsidRDefault="008C5B19" w:rsidP="007C0FAB">
      <w:pPr>
        <w:pStyle w:val="ListParagraph"/>
      </w:pPr>
    </w:p>
    <w:p w14:paraId="7B2C0FE5" w14:textId="1B2E0731" w:rsidR="00AD032B" w:rsidRPr="009343C4" w:rsidRDefault="00AD032B" w:rsidP="00AD032B">
      <w:pPr>
        <w:rPr>
          <w:b/>
          <w:bCs/>
        </w:rPr>
      </w:pPr>
      <w:r w:rsidRPr="009343C4">
        <w:rPr>
          <w:b/>
          <w:bCs/>
        </w:rPr>
        <w:t>Admissions</w:t>
      </w:r>
    </w:p>
    <w:p w14:paraId="4FD699DF" w14:textId="72E1B2A5" w:rsidR="00AD032B" w:rsidRPr="009343C4" w:rsidRDefault="00AD032B" w:rsidP="00AD032B">
      <w:pPr>
        <w:pStyle w:val="ListParagraph"/>
        <w:numPr>
          <w:ilvl w:val="0"/>
          <w:numId w:val="10"/>
        </w:numPr>
      </w:pPr>
      <w:r w:rsidRPr="009343C4">
        <w:t>Entry Criteria will be 2.1 at undergraduate level, 6.5 IELTs, and subject to optional interview and research proposal (maximum length 1500 words).</w:t>
      </w:r>
    </w:p>
    <w:p w14:paraId="06D07B54" w14:textId="4998F41E" w:rsidR="00AD032B" w:rsidRPr="009343C4" w:rsidRDefault="00AD032B" w:rsidP="00AD032B">
      <w:pPr>
        <w:pStyle w:val="ListParagraph"/>
        <w:numPr>
          <w:ilvl w:val="0"/>
          <w:numId w:val="10"/>
        </w:numPr>
      </w:pPr>
      <w:r>
        <w:t xml:space="preserve">Deviations from the entry criteria is subject to agreement at </w:t>
      </w:r>
      <w:r w:rsidR="003568E4">
        <w:t>approval</w:t>
      </w:r>
      <w:r>
        <w:t xml:space="preserve"> stage.</w:t>
      </w:r>
    </w:p>
    <w:p w14:paraId="19E01BA0" w14:textId="3B011CE9" w:rsidR="68AA98C9" w:rsidRDefault="68AA98C9">
      <w:r>
        <w:br w:type="page"/>
      </w:r>
    </w:p>
    <w:p w14:paraId="5FAA164C" w14:textId="657C5F05" w:rsidR="00AD032B" w:rsidRDefault="396E3793" w:rsidP="68AA98C9">
      <w:pPr>
        <w:rPr>
          <w:b/>
          <w:bCs/>
        </w:rPr>
      </w:pPr>
      <w:r w:rsidRPr="68AA98C9">
        <w:rPr>
          <w:b/>
          <w:bCs/>
        </w:rPr>
        <w:lastRenderedPageBreak/>
        <w:t>Revisions to the Framework: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800"/>
        <w:gridCol w:w="4845"/>
        <w:gridCol w:w="2370"/>
      </w:tblGrid>
      <w:tr w:rsidR="68AA98C9" w14:paraId="495DC8A8" w14:textId="77777777" w:rsidTr="68AA98C9">
        <w:trPr>
          <w:trHeight w:val="300"/>
        </w:trPr>
        <w:tc>
          <w:tcPr>
            <w:tcW w:w="1800" w:type="dxa"/>
          </w:tcPr>
          <w:p w14:paraId="12FEB9F9" w14:textId="02D155CF" w:rsidR="396E3793" w:rsidRDefault="396E3793" w:rsidP="68AA98C9">
            <w:pPr>
              <w:rPr>
                <w:b/>
                <w:bCs/>
              </w:rPr>
            </w:pPr>
            <w:r w:rsidRPr="68AA98C9">
              <w:rPr>
                <w:b/>
                <w:bCs/>
              </w:rPr>
              <w:t>Section</w:t>
            </w:r>
          </w:p>
        </w:tc>
        <w:tc>
          <w:tcPr>
            <w:tcW w:w="4845" w:type="dxa"/>
          </w:tcPr>
          <w:p w14:paraId="477A50C1" w14:textId="144E047D" w:rsidR="396E3793" w:rsidRDefault="396E3793" w:rsidP="68AA98C9">
            <w:pPr>
              <w:rPr>
                <w:b/>
                <w:bCs/>
              </w:rPr>
            </w:pPr>
            <w:r w:rsidRPr="68AA98C9">
              <w:rPr>
                <w:b/>
                <w:bCs/>
              </w:rPr>
              <w:t>Amendment</w:t>
            </w:r>
          </w:p>
        </w:tc>
        <w:tc>
          <w:tcPr>
            <w:tcW w:w="2370" w:type="dxa"/>
          </w:tcPr>
          <w:p w14:paraId="204B4EE8" w14:textId="67686F8C" w:rsidR="396E3793" w:rsidRDefault="396E3793" w:rsidP="68AA98C9">
            <w:pPr>
              <w:rPr>
                <w:b/>
                <w:bCs/>
              </w:rPr>
            </w:pPr>
            <w:r w:rsidRPr="68AA98C9">
              <w:rPr>
                <w:b/>
                <w:bCs/>
              </w:rPr>
              <w:t>Approval / Date</w:t>
            </w:r>
          </w:p>
        </w:tc>
      </w:tr>
      <w:tr w:rsidR="68AA98C9" w14:paraId="72112B99" w14:textId="77777777" w:rsidTr="68AA98C9">
        <w:trPr>
          <w:trHeight w:val="300"/>
        </w:trPr>
        <w:tc>
          <w:tcPr>
            <w:tcW w:w="1800" w:type="dxa"/>
          </w:tcPr>
          <w:p w14:paraId="3372C08B" w14:textId="26FFEBA3" w:rsidR="396E3793" w:rsidRDefault="396E3793" w:rsidP="68AA98C9">
            <w:r>
              <w:t>Governance (3)</w:t>
            </w:r>
          </w:p>
        </w:tc>
        <w:tc>
          <w:tcPr>
            <w:tcW w:w="4845" w:type="dxa"/>
          </w:tcPr>
          <w:p w14:paraId="6ADB2614" w14:textId="4D0E483B" w:rsidR="396E3793" w:rsidRDefault="396E3793" w:rsidP="68AA98C9">
            <w:r>
              <w:t>Ethical review to be done through the PGT process.</w:t>
            </w:r>
          </w:p>
        </w:tc>
        <w:tc>
          <w:tcPr>
            <w:tcW w:w="2370" w:type="dxa"/>
          </w:tcPr>
          <w:p w14:paraId="225495EE" w14:textId="1CA2AD34" w:rsidR="396E3793" w:rsidRDefault="396E3793" w:rsidP="68AA98C9">
            <w:r>
              <w:t>RDC / May 2025</w:t>
            </w:r>
          </w:p>
        </w:tc>
      </w:tr>
      <w:tr w:rsidR="00165B6D" w14:paraId="39BEAFAE" w14:textId="77777777" w:rsidTr="68AA98C9">
        <w:trPr>
          <w:trHeight w:val="300"/>
        </w:trPr>
        <w:tc>
          <w:tcPr>
            <w:tcW w:w="1800" w:type="dxa"/>
          </w:tcPr>
          <w:p w14:paraId="2D0E9607" w14:textId="077D4F5F" w:rsidR="00165B6D" w:rsidRDefault="00165B6D" w:rsidP="68AA98C9">
            <w:r>
              <w:t>Supervisors (2)</w:t>
            </w:r>
          </w:p>
        </w:tc>
        <w:tc>
          <w:tcPr>
            <w:tcW w:w="4845" w:type="dxa"/>
          </w:tcPr>
          <w:p w14:paraId="239E631C" w14:textId="532B4841" w:rsidR="00545DD0" w:rsidRDefault="00165B6D" w:rsidP="00545DD0">
            <w:r>
              <w:t>Clarifi</w:t>
            </w:r>
            <w:r w:rsidR="00793FD7">
              <w:t xml:space="preserve">ed that they must be on a permanent contract, or fixed term to </w:t>
            </w:r>
            <w:r w:rsidR="00545DD0">
              <w:t>end after submission of the thesis.</w:t>
            </w:r>
          </w:p>
        </w:tc>
        <w:tc>
          <w:tcPr>
            <w:tcW w:w="2370" w:type="dxa"/>
          </w:tcPr>
          <w:p w14:paraId="0E4CF77A" w14:textId="17D4EA96" w:rsidR="00165B6D" w:rsidRDefault="00545DD0" w:rsidP="68AA98C9">
            <w:r>
              <w:t>RDC CA / October 2025</w:t>
            </w:r>
          </w:p>
        </w:tc>
      </w:tr>
      <w:tr w:rsidR="00213473" w14:paraId="4D87586E" w14:textId="77777777" w:rsidTr="68AA98C9">
        <w:trPr>
          <w:trHeight w:val="300"/>
        </w:trPr>
        <w:tc>
          <w:tcPr>
            <w:tcW w:w="1800" w:type="dxa"/>
          </w:tcPr>
          <w:p w14:paraId="5E007733" w14:textId="50516825" w:rsidR="00213473" w:rsidRDefault="00CD503C" w:rsidP="68AA98C9">
            <w:r>
              <w:t xml:space="preserve">Programme structure – thesis </w:t>
            </w:r>
          </w:p>
        </w:tc>
        <w:tc>
          <w:tcPr>
            <w:tcW w:w="4845" w:type="dxa"/>
          </w:tcPr>
          <w:p w14:paraId="279D73DE" w14:textId="137BE3EF" w:rsidR="00213473" w:rsidRPr="00213473" w:rsidRDefault="00213473" w:rsidP="00213473">
            <w:r>
              <w:t>S</w:t>
            </w:r>
            <w:r w:rsidRPr="00213473">
              <w:t xml:space="preserve">tudents </w:t>
            </w:r>
            <w:r>
              <w:t xml:space="preserve">who </w:t>
            </w:r>
            <w:r w:rsidRPr="00213473">
              <w:t xml:space="preserve">fail the thesis component of the </w:t>
            </w:r>
            <w:proofErr w:type="spellStart"/>
            <w:r w:rsidRPr="00213473">
              <w:t>MRes</w:t>
            </w:r>
            <w:proofErr w:type="spellEnd"/>
            <w:r w:rsidR="00F36307">
              <w:t xml:space="preserve"> will </w:t>
            </w:r>
            <w:r w:rsidRPr="00213473">
              <w:t>have an 8-week period in which to resubmit.</w:t>
            </w:r>
          </w:p>
          <w:p w14:paraId="52E9BCF6" w14:textId="77777777" w:rsidR="00213473" w:rsidRDefault="00213473" w:rsidP="00545DD0"/>
        </w:tc>
        <w:tc>
          <w:tcPr>
            <w:tcW w:w="2370" w:type="dxa"/>
          </w:tcPr>
          <w:p w14:paraId="6C03169C" w14:textId="1CE521FA" w:rsidR="00213473" w:rsidRDefault="00F36307" w:rsidP="68AA98C9">
            <w:r>
              <w:t>RDC CA / October 2025</w:t>
            </w:r>
          </w:p>
        </w:tc>
      </w:tr>
    </w:tbl>
    <w:p w14:paraId="0ECE5B98" w14:textId="77777777" w:rsidR="004B7144" w:rsidRDefault="004B7144" w:rsidP="004B7144"/>
    <w:p w14:paraId="5736F5E9" w14:textId="033957C2" w:rsidR="00027F8E" w:rsidRDefault="00027F8E" w:rsidP="004B7144"/>
    <w:p w14:paraId="1C09D2DA" w14:textId="2320701F" w:rsidR="00B00F48" w:rsidRDefault="00B00F48" w:rsidP="00B00F48">
      <w:pPr>
        <w:pStyle w:val="ListParagraph"/>
      </w:pPr>
    </w:p>
    <w:sectPr w:rsidR="00B00F48"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D0255" w14:textId="77777777" w:rsidR="00A75381" w:rsidRDefault="00A75381" w:rsidP="00781CB0">
      <w:pPr>
        <w:spacing w:after="0" w:line="240" w:lineRule="auto"/>
      </w:pPr>
      <w:r>
        <w:separator/>
      </w:r>
    </w:p>
  </w:endnote>
  <w:endnote w:type="continuationSeparator" w:id="0">
    <w:p w14:paraId="27D9CEB3" w14:textId="77777777" w:rsidR="00A75381" w:rsidRDefault="00A75381" w:rsidP="00781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47569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B250B4" w14:textId="36076077" w:rsidR="00027F8E" w:rsidRDefault="00027F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3E4667" w14:textId="77777777" w:rsidR="00781CB0" w:rsidRDefault="00781C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D0098" w14:textId="77777777" w:rsidR="00A75381" w:rsidRDefault="00A75381" w:rsidP="00781CB0">
      <w:pPr>
        <w:spacing w:after="0" w:line="240" w:lineRule="auto"/>
      </w:pPr>
      <w:r>
        <w:separator/>
      </w:r>
    </w:p>
  </w:footnote>
  <w:footnote w:type="continuationSeparator" w:id="0">
    <w:p w14:paraId="6E65F3BC" w14:textId="77777777" w:rsidR="00A75381" w:rsidRDefault="00A75381" w:rsidP="00781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717F2"/>
    <w:multiLevelType w:val="hybridMultilevel"/>
    <w:tmpl w:val="9CA4B9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D6CC9"/>
    <w:multiLevelType w:val="hybridMultilevel"/>
    <w:tmpl w:val="9CA4B9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C2586"/>
    <w:multiLevelType w:val="hybridMultilevel"/>
    <w:tmpl w:val="9C6674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65413"/>
    <w:multiLevelType w:val="hybridMultilevel"/>
    <w:tmpl w:val="F7C633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E5291"/>
    <w:multiLevelType w:val="hybridMultilevel"/>
    <w:tmpl w:val="3DDA46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33850"/>
    <w:multiLevelType w:val="hybridMultilevel"/>
    <w:tmpl w:val="80B298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07D72"/>
    <w:multiLevelType w:val="hybridMultilevel"/>
    <w:tmpl w:val="35D69F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DB42E9"/>
    <w:multiLevelType w:val="hybridMultilevel"/>
    <w:tmpl w:val="F7C633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E31EDE"/>
    <w:multiLevelType w:val="hybridMultilevel"/>
    <w:tmpl w:val="D18C7F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C2A34"/>
    <w:multiLevelType w:val="hybridMultilevel"/>
    <w:tmpl w:val="7BD414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0C5A06"/>
    <w:multiLevelType w:val="hybridMultilevel"/>
    <w:tmpl w:val="A092A7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481196">
    <w:abstractNumId w:val="5"/>
  </w:num>
  <w:num w:numId="2" w16cid:durableId="2707376">
    <w:abstractNumId w:val="8"/>
  </w:num>
  <w:num w:numId="3" w16cid:durableId="1169447335">
    <w:abstractNumId w:val="7"/>
  </w:num>
  <w:num w:numId="4" w16cid:durableId="1351951780">
    <w:abstractNumId w:val="2"/>
  </w:num>
  <w:num w:numId="5" w16cid:durableId="1065569331">
    <w:abstractNumId w:val="9"/>
  </w:num>
  <w:num w:numId="6" w16cid:durableId="1643734343">
    <w:abstractNumId w:val="10"/>
  </w:num>
  <w:num w:numId="7" w16cid:durableId="1290207932">
    <w:abstractNumId w:val="3"/>
  </w:num>
  <w:num w:numId="8" w16cid:durableId="548617330">
    <w:abstractNumId w:val="6"/>
  </w:num>
  <w:num w:numId="9" w16cid:durableId="348876067">
    <w:abstractNumId w:val="0"/>
  </w:num>
  <w:num w:numId="10" w16cid:durableId="736242273">
    <w:abstractNumId w:val="4"/>
  </w:num>
  <w:num w:numId="11" w16cid:durableId="831528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E5D"/>
    <w:rsid w:val="00027F8E"/>
    <w:rsid w:val="00080C9C"/>
    <w:rsid w:val="00097E46"/>
    <w:rsid w:val="000B428F"/>
    <w:rsid w:val="000B59B3"/>
    <w:rsid w:val="000D0310"/>
    <w:rsid w:val="000D5138"/>
    <w:rsid w:val="000F4DD5"/>
    <w:rsid w:val="000F75AA"/>
    <w:rsid w:val="00100F1C"/>
    <w:rsid w:val="001350CC"/>
    <w:rsid w:val="00165B6D"/>
    <w:rsid w:val="00181C86"/>
    <w:rsid w:val="001D1EB6"/>
    <w:rsid w:val="001F2184"/>
    <w:rsid w:val="00213473"/>
    <w:rsid w:val="00241023"/>
    <w:rsid w:val="00296FF7"/>
    <w:rsid w:val="002E4A10"/>
    <w:rsid w:val="00331724"/>
    <w:rsid w:val="003568E4"/>
    <w:rsid w:val="00370CD7"/>
    <w:rsid w:val="003B1DE2"/>
    <w:rsid w:val="003D1B41"/>
    <w:rsid w:val="0042556C"/>
    <w:rsid w:val="00472977"/>
    <w:rsid w:val="004A2950"/>
    <w:rsid w:val="004B7144"/>
    <w:rsid w:val="0050731A"/>
    <w:rsid w:val="00530E5D"/>
    <w:rsid w:val="00545DD0"/>
    <w:rsid w:val="005952C0"/>
    <w:rsid w:val="005F2F76"/>
    <w:rsid w:val="00655A53"/>
    <w:rsid w:val="006632E8"/>
    <w:rsid w:val="00681EA1"/>
    <w:rsid w:val="00687BDC"/>
    <w:rsid w:val="00687C48"/>
    <w:rsid w:val="006F68E2"/>
    <w:rsid w:val="00706417"/>
    <w:rsid w:val="007138CB"/>
    <w:rsid w:val="00731907"/>
    <w:rsid w:val="00743060"/>
    <w:rsid w:val="00781CB0"/>
    <w:rsid w:val="00793FD7"/>
    <w:rsid w:val="007B576A"/>
    <w:rsid w:val="007C0FAB"/>
    <w:rsid w:val="007E2797"/>
    <w:rsid w:val="008C5B19"/>
    <w:rsid w:val="009343C4"/>
    <w:rsid w:val="00990437"/>
    <w:rsid w:val="009B659B"/>
    <w:rsid w:val="00A1540B"/>
    <w:rsid w:val="00A22A74"/>
    <w:rsid w:val="00A3066A"/>
    <w:rsid w:val="00A465E3"/>
    <w:rsid w:val="00A47873"/>
    <w:rsid w:val="00A5705B"/>
    <w:rsid w:val="00A71813"/>
    <w:rsid w:val="00A75381"/>
    <w:rsid w:val="00AA22C6"/>
    <w:rsid w:val="00AD032B"/>
    <w:rsid w:val="00B00F48"/>
    <w:rsid w:val="00B30F29"/>
    <w:rsid w:val="00B348B3"/>
    <w:rsid w:val="00BA1EA8"/>
    <w:rsid w:val="00BC0950"/>
    <w:rsid w:val="00C20103"/>
    <w:rsid w:val="00C50C2D"/>
    <w:rsid w:val="00C5714C"/>
    <w:rsid w:val="00C7020A"/>
    <w:rsid w:val="00CD4FE6"/>
    <w:rsid w:val="00CD503C"/>
    <w:rsid w:val="00CF4AED"/>
    <w:rsid w:val="00D00BF4"/>
    <w:rsid w:val="00D118B3"/>
    <w:rsid w:val="00D3167F"/>
    <w:rsid w:val="00E83C09"/>
    <w:rsid w:val="00EC2902"/>
    <w:rsid w:val="00EC7FF4"/>
    <w:rsid w:val="00EF419E"/>
    <w:rsid w:val="00F27E72"/>
    <w:rsid w:val="00F36307"/>
    <w:rsid w:val="00F4475B"/>
    <w:rsid w:val="00F45877"/>
    <w:rsid w:val="00F64622"/>
    <w:rsid w:val="00F93E8F"/>
    <w:rsid w:val="32BA7177"/>
    <w:rsid w:val="396E3793"/>
    <w:rsid w:val="5DF8EC3A"/>
    <w:rsid w:val="5E14DA46"/>
    <w:rsid w:val="675AF087"/>
    <w:rsid w:val="68AA9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AA446"/>
  <w15:chartTrackingRefBased/>
  <w15:docId w15:val="{774679D1-8CD9-4A9E-9581-08EAF24B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E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0E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0E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D031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00F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0F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0F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0F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0F4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81C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CB0"/>
  </w:style>
  <w:style w:type="paragraph" w:styleId="Footer">
    <w:name w:val="footer"/>
    <w:basedOn w:val="Normal"/>
    <w:link w:val="FooterChar"/>
    <w:uiPriority w:val="99"/>
    <w:unhideWhenUsed/>
    <w:rsid w:val="00781C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CB0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rksj.ac.uk/media/content-assets/registry/regulations/11.Academic-Framework-202324-V1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officeforstudents.org.uk/media/47419ab1-1872-42df-9b55-8640d8fcc1ae/heses23-guidance-update-250102023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rksj.ac.uk/policies-and-documents/research/ethics-and-integrity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rksj.ac.uk/policies-and-documents/regulations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inclusiveeducationframework.info/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rksj.ac.uk/media/content-assets/registry/regulations/11.Academic-Framework-202324-V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3911de-b43e-4b1a-a598-2314b1b61289">
      <Terms xmlns="http://schemas.microsoft.com/office/infopath/2007/PartnerControls"/>
    </lcf76f155ced4ddcb4097134ff3c332f>
    <TaxCatchAll xmlns="fdef7881-3f0a-4c52-81b6-02c2d243e47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E3C3DE3CA63C43BF0106F51A39A6A7" ma:contentTypeVersion="19" ma:contentTypeDescription="Create a new document." ma:contentTypeScope="" ma:versionID="bdb44db42f4d69388a9dead9fc02d669">
  <xsd:schema xmlns:xsd="http://www.w3.org/2001/XMLSchema" xmlns:xs="http://www.w3.org/2001/XMLSchema" xmlns:p="http://schemas.microsoft.com/office/2006/metadata/properties" xmlns:ns2="573911de-b43e-4b1a-a598-2314b1b61289" xmlns:ns3="fdef7881-3f0a-4c52-81b6-02c2d243e475" targetNamespace="http://schemas.microsoft.com/office/2006/metadata/properties" ma:root="true" ma:fieldsID="807db34c16988f1dbe748d4b6bfbf453" ns2:_="" ns3:_="">
    <xsd:import namespace="573911de-b43e-4b1a-a598-2314b1b61289"/>
    <xsd:import namespace="fdef7881-3f0a-4c52-81b6-02c2d243e4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911de-b43e-4b1a-a598-2314b1b61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b1a67c-477c-4f54-866d-e73c7b3fe0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f7881-3f0a-4c52-81b6-02c2d243e4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bc09255-ff91-4e81-9d65-72dd8ef76d1b}" ma:internalName="TaxCatchAll" ma:showField="CatchAllData" ma:web="fdef7881-3f0a-4c52-81b6-02c2d243e4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A585F1-560E-41DB-98B4-D73CD391D2A5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573911de-b43e-4b1a-a598-2314b1b61289"/>
    <ds:schemaRef ds:uri="http://purl.org/dc/terms/"/>
    <ds:schemaRef ds:uri="http://schemas.microsoft.com/office/infopath/2007/PartnerControls"/>
    <ds:schemaRef ds:uri="fdef7881-3f0a-4c52-81b6-02c2d243e475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E06F212-A27B-4F9F-AD90-378F95CF82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99963A-33CE-4083-A65A-10267A498A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3911de-b43e-4b1a-a598-2314b1b61289"/>
    <ds:schemaRef ds:uri="fdef7881-3f0a-4c52-81b6-02c2d243e4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c8ae38e-f85b-4309-b7ec-862815a37aee}" enabled="0" method="" siteId="{5c8ae38e-f85b-4309-b7ec-862815a37a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826</Words>
  <Characters>4696</Characters>
  <Application>Microsoft Office Word</Application>
  <DocSecurity>0</DocSecurity>
  <Lines>587</Lines>
  <Paragraphs>190</Paragraphs>
  <ScaleCrop>false</ScaleCrop>
  <Company>York St John University</Company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Graham (j.graham)</dc:creator>
  <cp:keywords/>
  <dc:description/>
  <cp:lastModifiedBy>Jill Graham (j.graham)</cp:lastModifiedBy>
  <cp:revision>13</cp:revision>
  <dcterms:created xsi:type="dcterms:W3CDTF">2025-10-14T13:14:00Z</dcterms:created>
  <dcterms:modified xsi:type="dcterms:W3CDTF">2025-10-21T13:18:00Z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0x01010033E3C3DE3CA63C43BF0106F51A39A6A7</vt:lpwstr>
  </property>
  <property fmtid="{D5CDD505-2E9C-101B-9397-08002B2CF9AE}" pid="3" name="MediaServiceImageTags">
    <vt:lpwstr/>
  </property>
</Properties>
</file>