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5FCB" w14:textId="4B0A6AE9" w:rsidR="00655A53" w:rsidRPr="00C72BE5" w:rsidRDefault="00530E5D">
      <w:r w:rsidRPr="00C72BE5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33AEAF6" wp14:editId="741E225D">
            <wp:simplePos x="0" y="0"/>
            <wp:positionH relativeFrom="rightMargin">
              <wp:posOffset>-1410335</wp:posOffset>
            </wp:positionH>
            <wp:positionV relativeFrom="topMargin">
              <wp:posOffset>631825</wp:posOffset>
            </wp:positionV>
            <wp:extent cx="1800000" cy="72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baker\Downloads\logo-ne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FF824" w14:textId="77777777" w:rsidR="000E37FF" w:rsidRDefault="000E37FF" w:rsidP="00C7020A">
      <w:pPr>
        <w:jc w:val="center"/>
        <w:rPr>
          <w:b/>
          <w:bCs/>
          <w:sz w:val="28"/>
          <w:szCs w:val="28"/>
        </w:rPr>
      </w:pPr>
    </w:p>
    <w:p w14:paraId="0188CE93" w14:textId="43193C6D" w:rsidR="00530E5D" w:rsidRPr="00C72BE5" w:rsidRDefault="00D62DCA" w:rsidP="00C7020A">
      <w:pPr>
        <w:jc w:val="center"/>
        <w:rPr>
          <w:b/>
          <w:bCs/>
          <w:sz w:val="28"/>
          <w:szCs w:val="28"/>
        </w:rPr>
      </w:pPr>
      <w:r w:rsidRPr="00C72BE5">
        <w:rPr>
          <w:b/>
          <w:bCs/>
          <w:sz w:val="28"/>
          <w:szCs w:val="28"/>
        </w:rPr>
        <w:t>Professional Doctorate</w:t>
      </w:r>
      <w:r w:rsidR="00530E5D" w:rsidRPr="00C72BE5">
        <w:rPr>
          <w:b/>
          <w:bCs/>
          <w:sz w:val="28"/>
          <w:szCs w:val="28"/>
        </w:rPr>
        <w:t xml:space="preserve"> Framework</w:t>
      </w:r>
    </w:p>
    <w:p w14:paraId="192071A1" w14:textId="6E5E5814" w:rsidR="00530E5D" w:rsidRPr="00C72BE5" w:rsidRDefault="00530E5D">
      <w:pPr>
        <w:rPr>
          <w:b/>
          <w:bCs/>
        </w:rPr>
      </w:pPr>
      <w:r w:rsidRPr="00C72BE5">
        <w:rPr>
          <w:b/>
          <w:bCs/>
        </w:rPr>
        <w:t xml:space="preserve">Scope </w:t>
      </w:r>
    </w:p>
    <w:p w14:paraId="5BBFA1BE" w14:textId="3C01F431" w:rsidR="00530E5D" w:rsidRPr="00C72BE5" w:rsidRDefault="00530E5D" w:rsidP="000D0310">
      <w:pPr>
        <w:pStyle w:val="ListParagraph"/>
        <w:numPr>
          <w:ilvl w:val="0"/>
          <w:numId w:val="1"/>
        </w:numPr>
      </w:pPr>
      <w:r w:rsidRPr="00C72BE5">
        <w:t>This</w:t>
      </w:r>
      <w:r w:rsidR="000D0310" w:rsidRPr="00C72BE5">
        <w:t xml:space="preserve"> </w:t>
      </w:r>
      <w:r w:rsidRPr="00C72BE5">
        <w:t xml:space="preserve">Framework sets out the design principles for </w:t>
      </w:r>
      <w:r w:rsidR="00D62DCA" w:rsidRPr="00C72BE5">
        <w:t>Professional Doctorate</w:t>
      </w:r>
      <w:r w:rsidR="00864559" w:rsidRPr="00C72BE5">
        <w:t>s</w:t>
      </w:r>
      <w:r w:rsidR="00D62DCA" w:rsidRPr="00C72BE5">
        <w:t xml:space="preserve"> </w:t>
      </w:r>
      <w:r w:rsidR="00864559" w:rsidRPr="00C72BE5">
        <w:t xml:space="preserve">that have been designated as research programmes </w:t>
      </w:r>
      <w:r w:rsidRPr="00C72BE5">
        <w:t>at York St John University.</w:t>
      </w:r>
      <w:r w:rsidR="00864559" w:rsidRPr="00C72BE5">
        <w:rPr>
          <w:rStyle w:val="FootnoteReference"/>
        </w:rPr>
        <w:footnoteReference w:id="1"/>
      </w:r>
      <w:r w:rsidRPr="00C72BE5">
        <w:t xml:space="preserve"> </w:t>
      </w:r>
    </w:p>
    <w:p w14:paraId="73F6BCAD" w14:textId="05FF1707" w:rsidR="00530E5D" w:rsidRPr="00C72BE5" w:rsidRDefault="00530E5D" w:rsidP="000D0310">
      <w:pPr>
        <w:pStyle w:val="ListParagraph"/>
        <w:numPr>
          <w:ilvl w:val="0"/>
          <w:numId w:val="1"/>
        </w:numPr>
      </w:pPr>
      <w:r w:rsidRPr="00C72BE5">
        <w:t xml:space="preserve">The Framework should be read in conjunction with the </w:t>
      </w:r>
      <w:r w:rsidR="003B1DE2" w:rsidRPr="00C72BE5">
        <w:t xml:space="preserve">University’s </w:t>
      </w:r>
      <w:hyperlink r:id="rId12" w:history="1">
        <w:r w:rsidR="003B1DE2" w:rsidRPr="00C72BE5">
          <w:rPr>
            <w:rStyle w:val="Hyperlink"/>
          </w:rPr>
          <w:t>regulations</w:t>
        </w:r>
      </w:hyperlink>
      <w:r w:rsidR="003B1DE2" w:rsidRPr="00C72BE5">
        <w:t xml:space="preserve"> for T</w:t>
      </w:r>
      <w:r w:rsidR="00BA1EA8" w:rsidRPr="00C72BE5">
        <w:t>aught Postgraduate Awards</w:t>
      </w:r>
      <w:r w:rsidR="00A911AF" w:rsidRPr="00C72BE5">
        <w:t xml:space="preserve">, </w:t>
      </w:r>
      <w:r w:rsidR="00BA1EA8" w:rsidRPr="00C72BE5">
        <w:t>Research Degree Awards</w:t>
      </w:r>
      <w:r w:rsidR="00A911AF" w:rsidRPr="00C72BE5">
        <w:t>, and Professional Doctorate Awards</w:t>
      </w:r>
      <w:r w:rsidR="00BA1EA8" w:rsidRPr="00C72BE5">
        <w:t>.</w:t>
      </w:r>
    </w:p>
    <w:p w14:paraId="16FBF510" w14:textId="764B3167" w:rsidR="008941DF" w:rsidRPr="00C72BE5" w:rsidRDefault="00CD4FE6" w:rsidP="008941DF">
      <w:r w:rsidRPr="00C72BE5">
        <w:t xml:space="preserve">In writing the Framework, </w:t>
      </w:r>
      <w:r w:rsidR="008941DF" w:rsidRPr="00C72BE5">
        <w:t xml:space="preserve">we have considered the Office for Students </w:t>
      </w:r>
      <w:hyperlink r:id="rId13" w:history="1">
        <w:r w:rsidR="008941DF" w:rsidRPr="00C72BE5">
          <w:rPr>
            <w:rStyle w:val="Hyperlink"/>
          </w:rPr>
          <w:t>definition</w:t>
        </w:r>
      </w:hyperlink>
      <w:r w:rsidR="008941DF" w:rsidRPr="00C72BE5">
        <w:t xml:space="preserve"> of Postgraduate Research:</w:t>
      </w:r>
    </w:p>
    <w:p w14:paraId="5AF5140D" w14:textId="77777777" w:rsidR="008941DF" w:rsidRPr="00C72BE5" w:rsidRDefault="008941DF" w:rsidP="008941DF">
      <w:pPr>
        <w:rPr>
          <w:i/>
          <w:iCs/>
        </w:rPr>
      </w:pPr>
      <w:r w:rsidRPr="00C72BE5">
        <w:rPr>
          <w:i/>
          <w:iCs/>
        </w:rPr>
        <w:t>Postgraduate research students are those whose qualification aim is a research based higher degree. This is a postgraduate programme comprising a research component (including a requirement to produce original work) which is larger in terms of student effort than any accompanying taught component.</w:t>
      </w:r>
    </w:p>
    <w:p w14:paraId="4BA20001" w14:textId="356D6D15" w:rsidR="00CD4FE6" w:rsidRPr="00C72BE5" w:rsidRDefault="008941DF" w:rsidP="002247C0">
      <w:pPr>
        <w:rPr>
          <w:i/>
          <w:iCs/>
        </w:rPr>
      </w:pPr>
      <w:r w:rsidRPr="00C72BE5">
        <w:t>And</w:t>
      </w:r>
      <w:r w:rsidR="00CD4FE6" w:rsidRPr="00C72BE5">
        <w:t xml:space="preserve"> the </w:t>
      </w:r>
      <w:r w:rsidR="00694512" w:rsidRPr="00C72BE5">
        <w:t xml:space="preserve">QAA’s Characteristic Statement: </w:t>
      </w:r>
      <w:hyperlink r:id="rId14" w:history="1">
        <w:r w:rsidR="00694512" w:rsidRPr="00C72BE5">
          <w:rPr>
            <w:rStyle w:val="Hyperlink"/>
          </w:rPr>
          <w:t>Doctoral Degree</w:t>
        </w:r>
      </w:hyperlink>
      <w:r w:rsidR="00694512" w:rsidRPr="00C72BE5">
        <w:t xml:space="preserve"> </w:t>
      </w:r>
      <w:r w:rsidRPr="00C72BE5">
        <w:t>as</w:t>
      </w:r>
      <w:r w:rsidR="00CD4FE6" w:rsidRPr="00C72BE5">
        <w:t xml:space="preserve"> paramount when designing </w:t>
      </w:r>
      <w:r w:rsidR="00D62DCA" w:rsidRPr="00C72BE5">
        <w:t>a Professional Doctorate</w:t>
      </w:r>
      <w:r w:rsidR="00CD4FE6" w:rsidRPr="00C72BE5">
        <w:t xml:space="preserve">: </w:t>
      </w:r>
    </w:p>
    <w:p w14:paraId="31E2C76E" w14:textId="33DBDA3F" w:rsidR="00694512" w:rsidRPr="00C72BE5" w:rsidRDefault="00694512" w:rsidP="000D0310">
      <w:pPr>
        <w:rPr>
          <w:i/>
          <w:iCs/>
        </w:rPr>
      </w:pPr>
      <w:r w:rsidRPr="00C72BE5">
        <w:rPr>
          <w:i/>
          <w:iCs/>
        </w:rPr>
        <w:t>Professional and practice-based doctorates usually contain taught elements with significant lecture and seminar content, but final award of the doctorate is based on a supervised research project, projects or portfolio.</w:t>
      </w:r>
      <w:r w:rsidRPr="00C72BE5" w:rsidDel="00694512">
        <w:rPr>
          <w:i/>
          <w:iCs/>
        </w:rPr>
        <w:t xml:space="preserve"> </w:t>
      </w:r>
    </w:p>
    <w:p w14:paraId="13BE653D" w14:textId="25B9898A" w:rsidR="000D0310" w:rsidRPr="00C72BE5" w:rsidRDefault="000D0310">
      <w:pPr>
        <w:rPr>
          <w:b/>
          <w:bCs/>
        </w:rPr>
      </w:pPr>
      <w:r w:rsidRPr="00C72BE5">
        <w:rPr>
          <w:b/>
          <w:bCs/>
        </w:rPr>
        <w:t>Programme Structure</w:t>
      </w:r>
      <w:r w:rsidR="00B00F48" w:rsidRPr="00C72BE5">
        <w:rPr>
          <w:b/>
          <w:bCs/>
        </w:rPr>
        <w:t xml:space="preserve"> – </w:t>
      </w:r>
      <w:r w:rsidR="00D62DCA" w:rsidRPr="00C72BE5">
        <w:rPr>
          <w:b/>
          <w:bCs/>
        </w:rPr>
        <w:t xml:space="preserve">Stage </w:t>
      </w:r>
      <w:r w:rsidR="002247C0" w:rsidRPr="00C72BE5">
        <w:rPr>
          <w:b/>
          <w:bCs/>
        </w:rPr>
        <w:t>O</w:t>
      </w:r>
      <w:r w:rsidR="00D62DCA" w:rsidRPr="00C72BE5">
        <w:rPr>
          <w:b/>
          <w:bCs/>
        </w:rPr>
        <w:t xml:space="preserve">ne – </w:t>
      </w:r>
      <w:r w:rsidR="00B00F48" w:rsidRPr="00C72BE5">
        <w:rPr>
          <w:b/>
          <w:bCs/>
        </w:rPr>
        <w:t xml:space="preserve">taught modules </w:t>
      </w:r>
    </w:p>
    <w:p w14:paraId="3CE17764" w14:textId="70E3523A" w:rsidR="000D0310" w:rsidRPr="00C72BE5" w:rsidRDefault="00D62DCA" w:rsidP="00D62DCA">
      <w:pPr>
        <w:pStyle w:val="ListParagraph"/>
        <w:numPr>
          <w:ilvl w:val="0"/>
          <w:numId w:val="3"/>
        </w:numPr>
      </w:pPr>
      <w:r w:rsidRPr="00C72BE5">
        <w:t xml:space="preserve">3 </w:t>
      </w:r>
      <w:r w:rsidR="000D0310" w:rsidRPr="00C72BE5">
        <w:t xml:space="preserve">x </w:t>
      </w:r>
      <w:r w:rsidRPr="00C72BE5">
        <w:t xml:space="preserve">60 </w:t>
      </w:r>
      <w:r w:rsidR="000D0310" w:rsidRPr="00C72BE5">
        <w:t>credit module</w:t>
      </w:r>
      <w:r w:rsidRPr="00C72BE5">
        <w:t>s</w:t>
      </w:r>
      <w:r w:rsidR="000D0310" w:rsidRPr="00C72BE5">
        <w:t xml:space="preserve"> </w:t>
      </w:r>
      <w:r w:rsidR="00916F75">
        <w:t xml:space="preserve">at level 8 </w:t>
      </w:r>
      <w:r w:rsidR="002247C0" w:rsidRPr="00C72BE5">
        <w:t>that relate to professional practice and research.</w:t>
      </w:r>
    </w:p>
    <w:p w14:paraId="416B7461" w14:textId="28CB0A8E" w:rsidR="0042556C" w:rsidRPr="00C72BE5" w:rsidRDefault="006F68E2" w:rsidP="000D0310">
      <w:pPr>
        <w:pStyle w:val="ListParagraph"/>
        <w:numPr>
          <w:ilvl w:val="0"/>
          <w:numId w:val="3"/>
        </w:numPr>
      </w:pPr>
      <w:r w:rsidRPr="00C72BE5">
        <w:t xml:space="preserve">As per the </w:t>
      </w:r>
      <w:hyperlink r:id="rId15" w:history="1">
        <w:r w:rsidRPr="00C72BE5">
          <w:rPr>
            <w:rStyle w:val="Hyperlink"/>
          </w:rPr>
          <w:t>Academic Framework</w:t>
        </w:r>
      </w:hyperlink>
      <w:r w:rsidRPr="00C72BE5">
        <w:t xml:space="preserve">, </w:t>
      </w:r>
      <w:r w:rsidR="002247C0" w:rsidRPr="00C72BE5">
        <w:t xml:space="preserve">60 </w:t>
      </w:r>
      <w:r w:rsidRPr="00C72BE5">
        <w:t xml:space="preserve">credits should equate to </w:t>
      </w:r>
      <w:r w:rsidR="002247C0" w:rsidRPr="00C72BE5">
        <w:t xml:space="preserve">600 </w:t>
      </w:r>
      <w:r w:rsidRPr="00C72BE5">
        <w:t>hours of study.</w:t>
      </w:r>
    </w:p>
    <w:p w14:paraId="2888C2C1" w14:textId="2DC1810D" w:rsidR="000D0310" w:rsidRPr="00C72BE5" w:rsidRDefault="000D0310" w:rsidP="000D0310">
      <w:pPr>
        <w:pStyle w:val="ListParagraph"/>
        <w:numPr>
          <w:ilvl w:val="0"/>
          <w:numId w:val="3"/>
        </w:numPr>
      </w:pPr>
      <w:r w:rsidRPr="00C72BE5">
        <w:t xml:space="preserve">For each of these modules, </w:t>
      </w:r>
      <w:r w:rsidR="00B00F48" w:rsidRPr="00C72BE5">
        <w:t xml:space="preserve">an assessment load of </w:t>
      </w:r>
      <w:r w:rsidR="002247C0" w:rsidRPr="00C72BE5">
        <w:t>10</w:t>
      </w:r>
      <w:r w:rsidR="00D62DCA" w:rsidRPr="00C72BE5">
        <w:t>,</w:t>
      </w:r>
      <w:r w:rsidR="00B00F48" w:rsidRPr="00C72BE5">
        <w:t>000 words or equivalent</w:t>
      </w:r>
      <w:r w:rsidR="00733526" w:rsidRPr="00C72BE5">
        <w:t xml:space="preserve"> is expected</w:t>
      </w:r>
      <w:r w:rsidR="000B428F" w:rsidRPr="00C72BE5">
        <w:t>.</w:t>
      </w:r>
    </w:p>
    <w:p w14:paraId="336C3D3E" w14:textId="3006442B" w:rsidR="00B00F48" w:rsidRPr="00C72BE5" w:rsidRDefault="00B00F48" w:rsidP="000D0310">
      <w:pPr>
        <w:pStyle w:val="ListParagraph"/>
        <w:numPr>
          <w:ilvl w:val="0"/>
          <w:numId w:val="3"/>
        </w:numPr>
      </w:pPr>
      <w:r w:rsidRPr="00C72BE5">
        <w:t>In exceptional circumstances (</w:t>
      </w:r>
      <w:r w:rsidR="00733526" w:rsidRPr="00C72BE5">
        <w:t xml:space="preserve">e.g., </w:t>
      </w:r>
      <w:r w:rsidRPr="00C72BE5">
        <w:t>to meet the needs of PSRBs or funding bodies) some optionality will be permitted within the taught modules. However</w:t>
      </w:r>
      <w:r w:rsidR="00C5714C" w:rsidRPr="00C72BE5">
        <w:t>,</w:t>
      </w:r>
      <w:r w:rsidRPr="00C72BE5">
        <w:t xml:space="preserve"> all modules must be </w:t>
      </w:r>
      <w:r w:rsidR="002247C0" w:rsidRPr="00C72BE5">
        <w:t xml:space="preserve">60 </w:t>
      </w:r>
      <w:r w:rsidRPr="00C72BE5">
        <w:t xml:space="preserve">credits and address issues associated with </w:t>
      </w:r>
      <w:r w:rsidR="00D76217" w:rsidRPr="00C72BE5">
        <w:t>professional practice and research</w:t>
      </w:r>
      <w:r w:rsidRPr="00C72BE5">
        <w:t xml:space="preserve">. </w:t>
      </w:r>
    </w:p>
    <w:p w14:paraId="47594DD6" w14:textId="2257D01C" w:rsidR="00E83C09" w:rsidRPr="00C72BE5" w:rsidRDefault="00E83C09" w:rsidP="000D0310">
      <w:pPr>
        <w:pStyle w:val="ListParagraph"/>
        <w:numPr>
          <w:ilvl w:val="0"/>
          <w:numId w:val="3"/>
        </w:numPr>
      </w:pPr>
      <w:r w:rsidRPr="00C72BE5">
        <w:t>All assessments will be graded</w:t>
      </w:r>
      <w:r w:rsidR="008941DF" w:rsidRPr="00C72BE5">
        <w:t>.</w:t>
      </w:r>
    </w:p>
    <w:p w14:paraId="0AA68B50" w14:textId="2CA1D75B" w:rsidR="00241023" w:rsidRPr="00C72BE5" w:rsidRDefault="00B00F48" w:rsidP="00241023">
      <w:pPr>
        <w:pStyle w:val="ListParagraph"/>
        <w:numPr>
          <w:ilvl w:val="0"/>
          <w:numId w:val="3"/>
        </w:numPr>
      </w:pPr>
      <w:r w:rsidRPr="00C72BE5">
        <w:t>These modules will be “must pass” and non-</w:t>
      </w:r>
      <w:r w:rsidR="00D25EFD" w:rsidRPr="00C72BE5">
        <w:t>compensable</w:t>
      </w:r>
      <w:r w:rsidR="00E83C09" w:rsidRPr="00C72BE5">
        <w:t>,</w:t>
      </w:r>
      <w:r w:rsidRPr="00C72BE5">
        <w:t xml:space="preserve"> in order to ensure that students are able to undertake research</w:t>
      </w:r>
      <w:r w:rsidR="00D76217" w:rsidRPr="00C72BE5">
        <w:t xml:space="preserve"> and practice</w:t>
      </w:r>
      <w:r w:rsidRPr="00C72BE5">
        <w:t xml:space="preserve"> independently, safely and ethically.</w:t>
      </w:r>
      <w:r w:rsidR="00241023" w:rsidRPr="00C72BE5">
        <w:t xml:space="preserve"> </w:t>
      </w:r>
    </w:p>
    <w:p w14:paraId="3F23970E" w14:textId="5BD66EE8" w:rsidR="00241023" w:rsidRDefault="00594D01" w:rsidP="00241023">
      <w:pPr>
        <w:pStyle w:val="ListParagraph"/>
        <w:numPr>
          <w:ilvl w:val="0"/>
          <w:numId w:val="3"/>
        </w:numPr>
      </w:pPr>
      <w:r w:rsidRPr="00C72BE5">
        <w:t>All taught modules must be passed before a student can apply for Transfer.</w:t>
      </w:r>
    </w:p>
    <w:p w14:paraId="4C69B397" w14:textId="1B28D177" w:rsidR="00916F75" w:rsidRPr="00C72BE5" w:rsidRDefault="00916F75" w:rsidP="00241023">
      <w:pPr>
        <w:pStyle w:val="ListParagraph"/>
        <w:numPr>
          <w:ilvl w:val="0"/>
          <w:numId w:val="3"/>
        </w:numPr>
      </w:pPr>
      <w:r>
        <w:t>At this stage, regulations for taught postgraduate awards set out the processes to be followed.</w:t>
      </w:r>
    </w:p>
    <w:p w14:paraId="1D6B6CC7" w14:textId="3B2EDFCB" w:rsidR="00B00F48" w:rsidRPr="00C72BE5" w:rsidRDefault="00B00F48" w:rsidP="00B00F48">
      <w:pPr>
        <w:rPr>
          <w:b/>
          <w:bCs/>
        </w:rPr>
      </w:pPr>
      <w:r w:rsidRPr="00C72BE5">
        <w:rPr>
          <w:b/>
          <w:bCs/>
        </w:rPr>
        <w:t>Programme structure –</w:t>
      </w:r>
      <w:r w:rsidR="00D62DCA" w:rsidRPr="00C72BE5">
        <w:rPr>
          <w:b/>
          <w:bCs/>
        </w:rPr>
        <w:t xml:space="preserve"> Stage</w:t>
      </w:r>
      <w:r w:rsidR="00733526" w:rsidRPr="00C72BE5">
        <w:rPr>
          <w:b/>
          <w:bCs/>
        </w:rPr>
        <w:t xml:space="preserve"> T</w:t>
      </w:r>
      <w:r w:rsidR="00D62DCA" w:rsidRPr="00C72BE5">
        <w:rPr>
          <w:b/>
          <w:bCs/>
        </w:rPr>
        <w:t>wo –</w:t>
      </w:r>
      <w:r w:rsidRPr="00C72BE5">
        <w:rPr>
          <w:b/>
          <w:bCs/>
        </w:rPr>
        <w:t xml:space="preserve"> thesis</w:t>
      </w:r>
    </w:p>
    <w:p w14:paraId="35EC7F55" w14:textId="57CF9340" w:rsidR="002247C0" w:rsidRPr="00C72BE5" w:rsidRDefault="002247C0" w:rsidP="002247C0">
      <w:pPr>
        <w:pStyle w:val="ListParagraph"/>
        <w:numPr>
          <w:ilvl w:val="0"/>
          <w:numId w:val="4"/>
        </w:numPr>
      </w:pPr>
      <w:r w:rsidRPr="00C72BE5">
        <w:t>Progression to Stage Two will be determined by a Transfer Panel set up under the Research Degree Regulations who will assess individual research proposals</w:t>
      </w:r>
      <w:r w:rsidR="00D76217" w:rsidRPr="00C72BE5">
        <w:t>.</w:t>
      </w:r>
    </w:p>
    <w:p w14:paraId="0C566AC1" w14:textId="495B9FF3" w:rsidR="00B00F48" w:rsidRPr="00C72BE5" w:rsidRDefault="00B00F48" w:rsidP="00B00F48">
      <w:pPr>
        <w:pStyle w:val="ListParagraph"/>
        <w:numPr>
          <w:ilvl w:val="0"/>
          <w:numId w:val="4"/>
        </w:numPr>
      </w:pPr>
      <w:r w:rsidRPr="00C72BE5">
        <w:t xml:space="preserve">1 x </w:t>
      </w:r>
      <w:r w:rsidR="00694512" w:rsidRPr="00C72BE5">
        <w:t xml:space="preserve">360 </w:t>
      </w:r>
      <w:r w:rsidRPr="00C72BE5">
        <w:t xml:space="preserve">credit </w:t>
      </w:r>
      <w:r w:rsidR="00916F75">
        <w:t>50,000-word</w:t>
      </w:r>
      <w:r w:rsidR="00EE6084">
        <w:t xml:space="preserve"> (maximum)</w:t>
      </w:r>
      <w:r w:rsidR="00916F75">
        <w:t xml:space="preserve"> </w:t>
      </w:r>
      <w:r w:rsidRPr="00C72BE5">
        <w:t xml:space="preserve">Thesis (production of original work).  </w:t>
      </w:r>
    </w:p>
    <w:p w14:paraId="67F9CADD" w14:textId="2FAEC8C4" w:rsidR="006F68E2" w:rsidRPr="00C72BE5" w:rsidRDefault="00733526" w:rsidP="006F68E2">
      <w:pPr>
        <w:pStyle w:val="ListParagraph"/>
        <w:numPr>
          <w:ilvl w:val="0"/>
          <w:numId w:val="4"/>
        </w:numPr>
      </w:pPr>
      <w:r w:rsidRPr="00C72BE5">
        <w:t xml:space="preserve">At this stage, </w:t>
      </w:r>
      <w:r w:rsidR="002247C0" w:rsidRPr="00C72BE5">
        <w:t>regulations</w:t>
      </w:r>
      <w:r w:rsidRPr="00C72BE5">
        <w:t xml:space="preserve"> for doctoral degrees set out the processes to be followed</w:t>
      </w:r>
      <w:r w:rsidR="006F68E2" w:rsidRPr="00C72BE5">
        <w:t>.</w:t>
      </w:r>
    </w:p>
    <w:p w14:paraId="3AFFE3D6" w14:textId="5007374D" w:rsidR="004B7144" w:rsidRPr="00C72BE5" w:rsidRDefault="004B7144" w:rsidP="004B7144">
      <w:pPr>
        <w:rPr>
          <w:b/>
          <w:bCs/>
        </w:rPr>
      </w:pPr>
      <w:r w:rsidRPr="00C72BE5">
        <w:rPr>
          <w:b/>
          <w:bCs/>
        </w:rPr>
        <w:lastRenderedPageBreak/>
        <w:t xml:space="preserve">Programme </w:t>
      </w:r>
      <w:r w:rsidR="007E2797" w:rsidRPr="00C72BE5">
        <w:rPr>
          <w:b/>
          <w:bCs/>
        </w:rPr>
        <w:t xml:space="preserve">structure – further </w:t>
      </w:r>
      <w:r w:rsidR="000B59B3" w:rsidRPr="00C72BE5">
        <w:rPr>
          <w:b/>
          <w:bCs/>
        </w:rPr>
        <w:t>notes</w:t>
      </w:r>
    </w:p>
    <w:p w14:paraId="11E9980F" w14:textId="73944BBD" w:rsidR="004B7144" w:rsidRPr="00C72BE5" w:rsidRDefault="004B7144" w:rsidP="004B7144">
      <w:r w:rsidRPr="00C72BE5">
        <w:t xml:space="preserve">Within the programme </w:t>
      </w:r>
      <w:r w:rsidR="00A465E3" w:rsidRPr="00C72BE5">
        <w:t xml:space="preserve">and module </w:t>
      </w:r>
      <w:r w:rsidRPr="00C72BE5">
        <w:t>specification</w:t>
      </w:r>
      <w:r w:rsidR="00A465E3" w:rsidRPr="00C72BE5">
        <w:t>s</w:t>
      </w:r>
      <w:r w:rsidRPr="00C72BE5">
        <w:t>, colleagues should consider</w:t>
      </w:r>
      <w:r w:rsidR="00687C48" w:rsidRPr="00C72BE5">
        <w:t xml:space="preserve"> and note</w:t>
      </w:r>
      <w:r w:rsidRPr="00C72BE5">
        <w:t>:</w:t>
      </w:r>
    </w:p>
    <w:p w14:paraId="5C2470F1" w14:textId="7CCE0B40" w:rsidR="002247C0" w:rsidRPr="00C72BE5" w:rsidRDefault="002247C0" w:rsidP="004B7144">
      <w:pPr>
        <w:pStyle w:val="ListParagraph"/>
        <w:numPr>
          <w:ilvl w:val="0"/>
          <w:numId w:val="5"/>
        </w:numPr>
      </w:pPr>
      <w:r w:rsidRPr="00C72BE5">
        <w:t xml:space="preserve">Award of a </w:t>
      </w:r>
      <w:r w:rsidR="00D76217" w:rsidRPr="00C72BE5">
        <w:t>Professional Doctorate</w:t>
      </w:r>
      <w:r w:rsidRPr="00C72BE5">
        <w:t xml:space="preserve"> will be determined by a viva examination according to the Research Degree regulations</w:t>
      </w:r>
      <w:r w:rsidRPr="00C72BE5" w:rsidDel="002247C0">
        <w:t xml:space="preserve"> </w:t>
      </w:r>
    </w:p>
    <w:p w14:paraId="6F73C290" w14:textId="61FA5890" w:rsidR="002247C0" w:rsidRPr="00C72BE5" w:rsidRDefault="002247C0" w:rsidP="004B7144">
      <w:pPr>
        <w:pStyle w:val="ListParagraph"/>
        <w:numPr>
          <w:ilvl w:val="0"/>
          <w:numId w:val="5"/>
        </w:numPr>
      </w:pPr>
      <w:r w:rsidRPr="00C72BE5">
        <w:t xml:space="preserve">The Postgraduate Certificate will be awarded to students who exit with at least 60 credits from taught modules </w:t>
      </w:r>
    </w:p>
    <w:p w14:paraId="0E7B3FC6" w14:textId="2D57079E" w:rsidR="002247C0" w:rsidRPr="00C72BE5" w:rsidRDefault="002247C0" w:rsidP="004B7144">
      <w:pPr>
        <w:pStyle w:val="ListParagraph"/>
        <w:numPr>
          <w:ilvl w:val="0"/>
          <w:numId w:val="5"/>
        </w:numPr>
      </w:pPr>
      <w:r w:rsidRPr="00C72BE5">
        <w:t xml:space="preserve">The Postgraduate Diploma will be awarded to students who exit with at least 120 credits from taught modules </w:t>
      </w:r>
    </w:p>
    <w:p w14:paraId="705D0B17" w14:textId="77777777" w:rsidR="002247C0" w:rsidRPr="00C72BE5" w:rsidRDefault="002247C0" w:rsidP="004B7144">
      <w:pPr>
        <w:pStyle w:val="ListParagraph"/>
        <w:numPr>
          <w:ilvl w:val="0"/>
          <w:numId w:val="5"/>
        </w:numPr>
      </w:pPr>
      <w:r w:rsidRPr="00C72BE5">
        <w:t xml:space="preserve">The MSc/MA will be awarded to students who exit with at least 180 credits from taught modules </w:t>
      </w:r>
    </w:p>
    <w:p w14:paraId="04705EA0" w14:textId="3A016A8B" w:rsidR="00A22A74" w:rsidRPr="00C72BE5" w:rsidRDefault="002247C0" w:rsidP="004B7144">
      <w:pPr>
        <w:pStyle w:val="ListParagraph"/>
        <w:numPr>
          <w:ilvl w:val="0"/>
          <w:numId w:val="5"/>
        </w:numPr>
      </w:pPr>
      <w:r w:rsidRPr="00C72BE5">
        <w:t>The Master of Philosophy may be awarded at the discretion of examiners for those students who complete a thesis but are not awarded a Professional Doctorate</w:t>
      </w:r>
    </w:p>
    <w:p w14:paraId="1CB3DCCD" w14:textId="3A92DFB6" w:rsidR="004B7144" w:rsidRPr="00C72BE5" w:rsidRDefault="00D3167F" w:rsidP="004B7144">
      <w:pPr>
        <w:pStyle w:val="ListParagraph"/>
        <w:numPr>
          <w:ilvl w:val="0"/>
          <w:numId w:val="5"/>
        </w:numPr>
      </w:pPr>
      <w:r w:rsidRPr="00C72BE5">
        <w:t>PLOs should make explicit reference to the production of novel and independent research</w:t>
      </w:r>
    </w:p>
    <w:p w14:paraId="6F850D23" w14:textId="0D36B177" w:rsidR="006F68E2" w:rsidRPr="00C72BE5" w:rsidRDefault="006F68E2" w:rsidP="004B7144">
      <w:pPr>
        <w:pStyle w:val="ListParagraph"/>
        <w:numPr>
          <w:ilvl w:val="0"/>
          <w:numId w:val="5"/>
        </w:numPr>
      </w:pPr>
      <w:r w:rsidRPr="00C72BE5">
        <w:t xml:space="preserve">There should be a minimum of </w:t>
      </w:r>
      <w:r w:rsidR="00733526" w:rsidRPr="00C72BE5">
        <w:t xml:space="preserve">5 </w:t>
      </w:r>
      <w:r w:rsidRPr="00C72BE5">
        <w:t xml:space="preserve">and a maximum of </w:t>
      </w:r>
      <w:r w:rsidR="00733526" w:rsidRPr="00C72BE5">
        <w:t xml:space="preserve">10 </w:t>
      </w:r>
      <w:r w:rsidRPr="00C72BE5">
        <w:t>PLOs</w:t>
      </w:r>
    </w:p>
    <w:p w14:paraId="0A3C1E04" w14:textId="01108C2B" w:rsidR="00687C48" w:rsidRPr="00C72BE5" w:rsidRDefault="000D5138" w:rsidP="004B7144">
      <w:pPr>
        <w:pStyle w:val="ListParagraph"/>
        <w:numPr>
          <w:ilvl w:val="0"/>
          <w:numId w:val="5"/>
        </w:numPr>
      </w:pPr>
      <w:r w:rsidRPr="00C72BE5">
        <w:t xml:space="preserve">Programmes should be designed </w:t>
      </w:r>
      <w:r w:rsidR="002E4A10" w:rsidRPr="00C72BE5">
        <w:t>to ensure that all groups of learners have an equal opportunity to succeed.  Please reference the</w:t>
      </w:r>
      <w:r w:rsidR="00687C48" w:rsidRPr="00C72BE5">
        <w:t xml:space="preserve"> YSJ </w:t>
      </w:r>
      <w:hyperlink r:id="rId16" w:anchor="explore" w:history="1">
        <w:r w:rsidR="00687C48" w:rsidRPr="00C72BE5">
          <w:rPr>
            <w:rStyle w:val="Hyperlink"/>
          </w:rPr>
          <w:t>Inclusive Education Framework</w:t>
        </w:r>
      </w:hyperlink>
      <w:r w:rsidR="00A5705B" w:rsidRPr="00C72BE5">
        <w:t>.</w:t>
      </w:r>
    </w:p>
    <w:p w14:paraId="1E1E6907" w14:textId="0642D09D" w:rsidR="00990437" w:rsidRPr="00C72BE5" w:rsidRDefault="00990437" w:rsidP="004B7144">
      <w:pPr>
        <w:pStyle w:val="ListParagraph"/>
        <w:numPr>
          <w:ilvl w:val="0"/>
          <w:numId w:val="5"/>
        </w:numPr>
      </w:pPr>
      <w:r w:rsidRPr="00C72BE5">
        <w:t xml:space="preserve">All </w:t>
      </w:r>
      <w:r w:rsidR="00694512" w:rsidRPr="00C72BE5">
        <w:t xml:space="preserve">taught </w:t>
      </w:r>
      <w:r w:rsidRPr="00C72BE5">
        <w:t>modules</w:t>
      </w:r>
      <w:r w:rsidR="00694512" w:rsidRPr="00C72BE5">
        <w:t xml:space="preserve"> </w:t>
      </w:r>
      <w:r w:rsidRPr="00C72BE5">
        <w:t xml:space="preserve">will be exempt from anonymous marking. </w:t>
      </w:r>
    </w:p>
    <w:p w14:paraId="20B4FC90" w14:textId="1339264E" w:rsidR="007C0FAB" w:rsidRPr="00C72BE5" w:rsidRDefault="007C0FAB" w:rsidP="007C0FAB">
      <w:pPr>
        <w:rPr>
          <w:b/>
          <w:bCs/>
        </w:rPr>
      </w:pPr>
      <w:r w:rsidRPr="00C72BE5">
        <w:rPr>
          <w:b/>
          <w:bCs/>
        </w:rPr>
        <w:t>Governance</w:t>
      </w:r>
    </w:p>
    <w:p w14:paraId="1D15A8A0" w14:textId="748170ED" w:rsidR="00D62DCA" w:rsidRPr="00C72BE5" w:rsidRDefault="00D62DCA" w:rsidP="007C0FAB">
      <w:pPr>
        <w:pStyle w:val="ListParagraph"/>
        <w:numPr>
          <w:ilvl w:val="0"/>
          <w:numId w:val="6"/>
        </w:numPr>
      </w:pPr>
      <w:r w:rsidRPr="00C72BE5">
        <w:t xml:space="preserve">Validation </w:t>
      </w:r>
      <w:r w:rsidR="002247C0" w:rsidRPr="00C72BE5">
        <w:t xml:space="preserve">of new programmes will </w:t>
      </w:r>
      <w:r w:rsidR="00694512" w:rsidRPr="00C72BE5">
        <w:t>take place at Research Degrees Committee</w:t>
      </w:r>
    </w:p>
    <w:p w14:paraId="39E02C7A" w14:textId="0EC97840" w:rsidR="00694512" w:rsidRDefault="00694512" w:rsidP="007C0FAB">
      <w:pPr>
        <w:pStyle w:val="ListParagraph"/>
        <w:numPr>
          <w:ilvl w:val="0"/>
          <w:numId w:val="6"/>
        </w:numPr>
      </w:pPr>
      <w:r w:rsidRPr="00C72BE5">
        <w:t>R</w:t>
      </w:r>
      <w:r w:rsidR="002247C0" w:rsidRPr="00C72BE5">
        <w:t>esearch Degrees Committee</w:t>
      </w:r>
      <w:r w:rsidRPr="00C72BE5">
        <w:t xml:space="preserve"> will review</w:t>
      </w:r>
      <w:r w:rsidR="002247C0" w:rsidRPr="00C72BE5">
        <w:t xml:space="preserve"> and approve</w:t>
      </w:r>
      <w:r w:rsidRPr="00C72BE5">
        <w:t xml:space="preserve"> </w:t>
      </w:r>
      <w:r w:rsidR="002247C0" w:rsidRPr="00C72BE5">
        <w:t>amendments</w:t>
      </w:r>
      <w:r w:rsidRPr="00C72BE5">
        <w:t xml:space="preserve"> to Professional Doctorate programmes</w:t>
      </w:r>
    </w:p>
    <w:p w14:paraId="6216EDD0" w14:textId="02E76346" w:rsidR="00402A62" w:rsidRDefault="00402A62" w:rsidP="00402A62"/>
    <w:p w14:paraId="01D82549" w14:textId="5A101E13" w:rsidR="00402A62" w:rsidRDefault="00402A62" w:rsidP="00402A62">
      <w:pPr>
        <w:rPr>
          <w:i/>
          <w:iCs/>
        </w:rPr>
      </w:pPr>
      <w:r>
        <w:rPr>
          <w:i/>
          <w:iCs/>
        </w:rPr>
        <w:t>Approved:  AB 29/4/26</w:t>
      </w:r>
    </w:p>
    <w:p w14:paraId="7DD8083A" w14:textId="77777777" w:rsidR="00402A62" w:rsidRPr="00402A62" w:rsidRDefault="00402A62" w:rsidP="00402A6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02A62">
        <w:rPr>
          <w:rFonts w:ascii="Calibri" w:eastAsia="Times New Roman" w:hAnsi="Calibri" w:cs="Calibri"/>
          <w:b/>
          <w:bCs/>
          <w:lang w:eastAsia="en-GB"/>
        </w:rPr>
        <w:t>Revisions to the Framework:</w:t>
      </w:r>
      <w:r w:rsidRPr="00402A62">
        <w:rPr>
          <w:rFonts w:ascii="Calibri" w:eastAsia="Times New Roman" w:hAnsi="Calibri" w:cs="Calibri"/>
          <w:lang w:eastAsia="en-GB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4830"/>
        <w:gridCol w:w="2370"/>
      </w:tblGrid>
      <w:tr w:rsidR="00402A62" w:rsidRPr="00402A62" w14:paraId="66350E24" w14:textId="77777777" w:rsidTr="00402A62">
        <w:trPr>
          <w:trHeight w:val="28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C08B56" w14:textId="77777777" w:rsidR="00402A62" w:rsidRPr="00402A62" w:rsidRDefault="00402A62" w:rsidP="00402A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A62">
              <w:rPr>
                <w:rFonts w:ascii="Calibri" w:eastAsia="Times New Roman" w:hAnsi="Calibri" w:cs="Calibri"/>
                <w:b/>
                <w:bCs/>
                <w:lang w:eastAsia="en-GB"/>
              </w:rPr>
              <w:t>Section</w:t>
            </w:r>
            <w:r w:rsidRPr="00402A62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AE3C3B" w14:textId="77777777" w:rsidR="00402A62" w:rsidRPr="00402A62" w:rsidRDefault="00402A62" w:rsidP="00402A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A62">
              <w:rPr>
                <w:rFonts w:ascii="Calibri" w:eastAsia="Times New Roman" w:hAnsi="Calibri" w:cs="Calibri"/>
                <w:b/>
                <w:bCs/>
                <w:lang w:eastAsia="en-GB"/>
              </w:rPr>
              <w:t>Amendment</w:t>
            </w:r>
            <w:r w:rsidRPr="00402A62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49830A" w14:textId="77777777" w:rsidR="00402A62" w:rsidRPr="00402A62" w:rsidRDefault="00402A62" w:rsidP="00402A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A62">
              <w:rPr>
                <w:rFonts w:ascii="Calibri" w:eastAsia="Times New Roman" w:hAnsi="Calibri" w:cs="Calibri"/>
                <w:b/>
                <w:bCs/>
                <w:lang w:eastAsia="en-GB"/>
              </w:rPr>
              <w:t>Approval / Date</w:t>
            </w:r>
            <w:r w:rsidRPr="00402A62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402A62" w:rsidRPr="00402A62" w14:paraId="4606C6CF" w14:textId="77777777" w:rsidTr="00402A62">
        <w:trPr>
          <w:trHeight w:val="28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C707E" w14:textId="121F55E3" w:rsidR="00402A62" w:rsidRPr="00402A62" w:rsidRDefault="00402A62" w:rsidP="00402A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45D74" w14:textId="196350CC" w:rsidR="00402A62" w:rsidRPr="00402A62" w:rsidRDefault="00402A62" w:rsidP="00402A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1F027" w14:textId="7513F322" w:rsidR="00402A62" w:rsidRPr="00402A62" w:rsidRDefault="00402A62" w:rsidP="00402A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237C241" w14:textId="77777777" w:rsidR="00402A62" w:rsidRPr="00402A62" w:rsidRDefault="00402A62" w:rsidP="00402A6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02A62">
        <w:rPr>
          <w:rFonts w:ascii="Calibri" w:eastAsia="Times New Roman" w:hAnsi="Calibri" w:cs="Calibri"/>
          <w:lang w:eastAsia="en-GB"/>
        </w:rPr>
        <w:t> </w:t>
      </w:r>
    </w:p>
    <w:p w14:paraId="702417F8" w14:textId="77777777" w:rsidR="00402A62" w:rsidRPr="00402A62" w:rsidRDefault="00402A62" w:rsidP="00402A6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02A62">
        <w:rPr>
          <w:rFonts w:ascii="Calibri" w:eastAsia="Times New Roman" w:hAnsi="Calibri" w:cs="Calibri"/>
          <w:lang w:eastAsia="en-GB"/>
        </w:rPr>
        <w:t> </w:t>
      </w:r>
    </w:p>
    <w:p w14:paraId="375E9406" w14:textId="77777777" w:rsidR="00402A62" w:rsidRPr="00402A62" w:rsidRDefault="00402A62" w:rsidP="00402A62">
      <w:pPr>
        <w:rPr>
          <w:i/>
          <w:iCs/>
        </w:rPr>
      </w:pPr>
    </w:p>
    <w:p w14:paraId="5FAA164C" w14:textId="77777777" w:rsidR="00AD032B" w:rsidRDefault="00AD032B" w:rsidP="00AD032B"/>
    <w:p w14:paraId="0ECE5B98" w14:textId="77777777" w:rsidR="004B7144" w:rsidRDefault="004B7144" w:rsidP="004B7144"/>
    <w:p w14:paraId="5736F5E9" w14:textId="033957C2" w:rsidR="00027F8E" w:rsidRDefault="00027F8E" w:rsidP="004B7144"/>
    <w:p w14:paraId="1C09D2DA" w14:textId="2320701F" w:rsidR="00B00F48" w:rsidRDefault="00B00F48" w:rsidP="00B00F48">
      <w:pPr>
        <w:pStyle w:val="ListParagraph"/>
      </w:pPr>
    </w:p>
    <w:sectPr w:rsidR="00B00F48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1072" w14:textId="77777777" w:rsidR="00431053" w:rsidRDefault="00431053" w:rsidP="00781CB0">
      <w:pPr>
        <w:spacing w:after="0" w:line="240" w:lineRule="auto"/>
      </w:pPr>
      <w:r>
        <w:separator/>
      </w:r>
    </w:p>
  </w:endnote>
  <w:endnote w:type="continuationSeparator" w:id="0">
    <w:p w14:paraId="4808F995" w14:textId="77777777" w:rsidR="00431053" w:rsidRDefault="00431053" w:rsidP="0078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717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4ACEBA7A" w14:textId="227883E2" w:rsidR="000E37FF" w:rsidRPr="000E37FF" w:rsidRDefault="000E37FF">
            <w:pPr>
              <w:pStyle w:val="Footer"/>
              <w:jc w:val="right"/>
              <w:rPr>
                <w:rFonts w:ascii="Arial" w:hAnsi="Arial" w:cs="Arial"/>
              </w:rPr>
            </w:pPr>
            <w:r w:rsidRPr="000E37FF">
              <w:rPr>
                <w:rFonts w:ascii="Arial" w:hAnsi="Arial" w:cs="Arial"/>
              </w:rPr>
              <w:t xml:space="preserve">Page </w:t>
            </w:r>
            <w:r w:rsidRPr="000E37F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E37FF">
              <w:rPr>
                <w:rFonts w:ascii="Arial" w:hAnsi="Arial" w:cs="Arial"/>
              </w:rPr>
              <w:instrText xml:space="preserve"> PAGE </w:instrText>
            </w:r>
            <w:r w:rsidRPr="000E37F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FF">
              <w:rPr>
                <w:rFonts w:ascii="Arial" w:hAnsi="Arial" w:cs="Arial"/>
                <w:noProof/>
              </w:rPr>
              <w:t>2</w:t>
            </w:r>
            <w:r w:rsidRPr="000E37F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E37FF">
              <w:rPr>
                <w:rFonts w:ascii="Arial" w:hAnsi="Arial" w:cs="Arial"/>
              </w:rPr>
              <w:t xml:space="preserve"> of </w:t>
            </w:r>
            <w:r w:rsidRPr="000E37F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E37FF">
              <w:rPr>
                <w:rFonts w:ascii="Arial" w:hAnsi="Arial" w:cs="Arial"/>
              </w:rPr>
              <w:instrText xml:space="preserve"> NUMPAGES  </w:instrText>
            </w:r>
            <w:r w:rsidRPr="000E37F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E37FF">
              <w:rPr>
                <w:rFonts w:ascii="Arial" w:hAnsi="Arial" w:cs="Arial"/>
                <w:noProof/>
              </w:rPr>
              <w:t>2</w:t>
            </w:r>
            <w:r w:rsidRPr="000E37F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1D3E4667" w14:textId="77777777" w:rsidR="00781CB0" w:rsidRDefault="00781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26C1" w14:textId="77777777" w:rsidR="00431053" w:rsidRDefault="00431053" w:rsidP="00781CB0">
      <w:pPr>
        <w:spacing w:after="0" w:line="240" w:lineRule="auto"/>
      </w:pPr>
      <w:r>
        <w:separator/>
      </w:r>
    </w:p>
  </w:footnote>
  <w:footnote w:type="continuationSeparator" w:id="0">
    <w:p w14:paraId="6DD017F1" w14:textId="77777777" w:rsidR="00431053" w:rsidRDefault="00431053" w:rsidP="00781CB0">
      <w:pPr>
        <w:spacing w:after="0" w:line="240" w:lineRule="auto"/>
      </w:pPr>
      <w:r>
        <w:continuationSeparator/>
      </w:r>
    </w:p>
  </w:footnote>
  <w:footnote w:id="1">
    <w:p w14:paraId="6AC8C91D" w14:textId="37621A8E" w:rsidR="00864559" w:rsidRDefault="00864559">
      <w:pPr>
        <w:pStyle w:val="FootnoteText"/>
      </w:pPr>
      <w:r w:rsidRPr="00D91E91">
        <w:rPr>
          <w:rStyle w:val="FootnoteReference"/>
        </w:rPr>
        <w:footnoteRef/>
      </w:r>
      <w:r w:rsidRPr="00D91E91">
        <w:t>Professional Doctorates may or may not be a research degree depending on whether the taught component is larger than the research component.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17F2"/>
    <w:multiLevelType w:val="hybridMultilevel"/>
    <w:tmpl w:val="9CA4B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2586"/>
    <w:multiLevelType w:val="hybridMultilevel"/>
    <w:tmpl w:val="9C667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65413"/>
    <w:multiLevelType w:val="hybridMultilevel"/>
    <w:tmpl w:val="F7C63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291"/>
    <w:multiLevelType w:val="hybridMultilevel"/>
    <w:tmpl w:val="3DDA4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33850"/>
    <w:multiLevelType w:val="hybridMultilevel"/>
    <w:tmpl w:val="80B29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D72"/>
    <w:multiLevelType w:val="hybridMultilevel"/>
    <w:tmpl w:val="35D69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B42E9"/>
    <w:multiLevelType w:val="hybridMultilevel"/>
    <w:tmpl w:val="F7C63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31EDE"/>
    <w:multiLevelType w:val="hybridMultilevel"/>
    <w:tmpl w:val="D18C7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C2A34"/>
    <w:multiLevelType w:val="hybridMultilevel"/>
    <w:tmpl w:val="7BD41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C5A06"/>
    <w:multiLevelType w:val="hybridMultilevel"/>
    <w:tmpl w:val="A092A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5D"/>
    <w:rsid w:val="00027F8E"/>
    <w:rsid w:val="00080C9C"/>
    <w:rsid w:val="00097E46"/>
    <w:rsid w:val="000B428F"/>
    <w:rsid w:val="000B59B3"/>
    <w:rsid w:val="000D0310"/>
    <w:rsid w:val="000D5138"/>
    <w:rsid w:val="000E37FF"/>
    <w:rsid w:val="000F4DD5"/>
    <w:rsid w:val="000F75AA"/>
    <w:rsid w:val="001350CC"/>
    <w:rsid w:val="00180B35"/>
    <w:rsid w:val="00181C86"/>
    <w:rsid w:val="001829DD"/>
    <w:rsid w:val="001A5921"/>
    <w:rsid w:val="001A6655"/>
    <w:rsid w:val="001D1EB6"/>
    <w:rsid w:val="001F2184"/>
    <w:rsid w:val="002247C0"/>
    <w:rsid w:val="00241023"/>
    <w:rsid w:val="00296FF7"/>
    <w:rsid w:val="002E4A10"/>
    <w:rsid w:val="0031438A"/>
    <w:rsid w:val="003568E4"/>
    <w:rsid w:val="00370CD7"/>
    <w:rsid w:val="00394EEC"/>
    <w:rsid w:val="003B1DE2"/>
    <w:rsid w:val="00402A62"/>
    <w:rsid w:val="0042556C"/>
    <w:rsid w:val="00431053"/>
    <w:rsid w:val="004461AB"/>
    <w:rsid w:val="00472977"/>
    <w:rsid w:val="004B7144"/>
    <w:rsid w:val="0050731A"/>
    <w:rsid w:val="0051335F"/>
    <w:rsid w:val="00530E5D"/>
    <w:rsid w:val="00594D01"/>
    <w:rsid w:val="005952C0"/>
    <w:rsid w:val="005C2171"/>
    <w:rsid w:val="005F2F76"/>
    <w:rsid w:val="00655A53"/>
    <w:rsid w:val="006632E8"/>
    <w:rsid w:val="00675D42"/>
    <w:rsid w:val="00681EA1"/>
    <w:rsid w:val="00687BDC"/>
    <w:rsid w:val="00687C48"/>
    <w:rsid w:val="00694512"/>
    <w:rsid w:val="006F68E2"/>
    <w:rsid w:val="00706417"/>
    <w:rsid w:val="007138CB"/>
    <w:rsid w:val="00731907"/>
    <w:rsid w:val="00732044"/>
    <w:rsid w:val="00733526"/>
    <w:rsid w:val="00743060"/>
    <w:rsid w:val="007678DF"/>
    <w:rsid w:val="00781CB0"/>
    <w:rsid w:val="007937B2"/>
    <w:rsid w:val="007C0FAB"/>
    <w:rsid w:val="007E2797"/>
    <w:rsid w:val="007F2C50"/>
    <w:rsid w:val="00854CF3"/>
    <w:rsid w:val="00864559"/>
    <w:rsid w:val="008941DF"/>
    <w:rsid w:val="008C5B19"/>
    <w:rsid w:val="00916F75"/>
    <w:rsid w:val="009343C4"/>
    <w:rsid w:val="00990437"/>
    <w:rsid w:val="009B505B"/>
    <w:rsid w:val="009B659B"/>
    <w:rsid w:val="00A22A74"/>
    <w:rsid w:val="00A3066A"/>
    <w:rsid w:val="00A465E3"/>
    <w:rsid w:val="00A47873"/>
    <w:rsid w:val="00A5705B"/>
    <w:rsid w:val="00A868B6"/>
    <w:rsid w:val="00A911AF"/>
    <w:rsid w:val="00AA22C6"/>
    <w:rsid w:val="00AD032B"/>
    <w:rsid w:val="00B00F48"/>
    <w:rsid w:val="00B30F29"/>
    <w:rsid w:val="00B348B3"/>
    <w:rsid w:val="00BA1EA8"/>
    <w:rsid w:val="00BC0950"/>
    <w:rsid w:val="00C20103"/>
    <w:rsid w:val="00C50C2D"/>
    <w:rsid w:val="00C5714C"/>
    <w:rsid w:val="00C7020A"/>
    <w:rsid w:val="00C72BE5"/>
    <w:rsid w:val="00CD4FE6"/>
    <w:rsid w:val="00CF4AED"/>
    <w:rsid w:val="00D118B3"/>
    <w:rsid w:val="00D15566"/>
    <w:rsid w:val="00D25EFD"/>
    <w:rsid w:val="00D3167F"/>
    <w:rsid w:val="00D62DCA"/>
    <w:rsid w:val="00D76217"/>
    <w:rsid w:val="00D8584D"/>
    <w:rsid w:val="00D91E91"/>
    <w:rsid w:val="00DA0D72"/>
    <w:rsid w:val="00DF07DD"/>
    <w:rsid w:val="00DF0AC1"/>
    <w:rsid w:val="00DF29AE"/>
    <w:rsid w:val="00E5206C"/>
    <w:rsid w:val="00E53E2A"/>
    <w:rsid w:val="00E83C09"/>
    <w:rsid w:val="00E8625F"/>
    <w:rsid w:val="00EC2902"/>
    <w:rsid w:val="00EC7FF4"/>
    <w:rsid w:val="00EE6084"/>
    <w:rsid w:val="00F34CE8"/>
    <w:rsid w:val="00F41779"/>
    <w:rsid w:val="00F45877"/>
    <w:rsid w:val="00F50459"/>
    <w:rsid w:val="00F64622"/>
    <w:rsid w:val="00F7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DAA446"/>
  <w15:chartTrackingRefBased/>
  <w15:docId w15:val="{774679D1-8CD9-4A9E-9581-08EAF24B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E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E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31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0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F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1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CB0"/>
  </w:style>
  <w:style w:type="paragraph" w:styleId="Footer">
    <w:name w:val="footer"/>
    <w:basedOn w:val="Normal"/>
    <w:link w:val="FooterChar"/>
    <w:uiPriority w:val="99"/>
    <w:unhideWhenUsed/>
    <w:rsid w:val="00781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CB0"/>
  </w:style>
  <w:style w:type="paragraph" w:styleId="Revision">
    <w:name w:val="Revision"/>
    <w:hidden/>
    <w:uiPriority w:val="99"/>
    <w:semiHidden/>
    <w:rsid w:val="001829D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645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45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4559"/>
    <w:rPr>
      <w:vertAlign w:val="superscript"/>
    </w:rPr>
  </w:style>
  <w:style w:type="paragraph" w:customStyle="1" w:styleId="paragraph">
    <w:name w:val="paragraph"/>
    <w:basedOn w:val="Normal"/>
    <w:rsid w:val="0040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02A62"/>
  </w:style>
  <w:style w:type="character" w:customStyle="1" w:styleId="eop">
    <w:name w:val="eop"/>
    <w:basedOn w:val="DefaultParagraphFont"/>
    <w:rsid w:val="0040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fficeforstudents.org.uk/media/47419ab1-1872-42df-9b55-8640d8fcc1ae/heses23-guidance-update-250102023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policies-and-documents/regulation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clusiveeducationframework.info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yorksj.ac.uk/media/content-assets/registry/regulations/11.Academic-Framework-202324-V1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aa.ac.uk/docs/qaa/quality-code/doctoral-degree-characteristics-statement-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775402d035e879495eeb2eb52963cf82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b9b55bcf8f47bae47f13f732e440adc5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2FAD8-D90B-4DC5-8BA6-B0CDA1201020}">
  <ds:schemaRefs>
    <ds:schemaRef ds:uri="http://schemas.microsoft.com/office/2006/metadata/properties"/>
    <ds:schemaRef ds:uri="fdef7881-3f0a-4c52-81b6-02c2d243e475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73911de-b43e-4b1a-a598-2314b1b61289"/>
  </ds:schemaRefs>
</ds:datastoreItem>
</file>

<file path=customXml/itemProps2.xml><?xml version="1.0" encoding="utf-8"?>
<ds:datastoreItem xmlns:ds="http://schemas.openxmlformats.org/officeDocument/2006/customXml" ds:itemID="{40A0C02F-53BE-4581-89FA-421F3B56ED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72857C-8237-4863-87F9-974EC795B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B1016-B9B4-4553-B35D-2CC61A6F5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911de-b43e-4b1a-a598-2314b1b61289"/>
    <ds:schemaRef ds:uri="fdef7881-3f0a-4c52-81b6-02c2d243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8ae38e-f85b-4309-b7ec-862815a37aee}" enabled="0" method="" siteId="{5c8ae38e-f85b-4309-b7ec-862815a37a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3640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 Robson</dc:creator>
  <cp:keywords/>
  <dc:description/>
  <cp:lastModifiedBy>Jill Graham (j.graham)</cp:lastModifiedBy>
  <cp:revision>2</cp:revision>
  <dcterms:created xsi:type="dcterms:W3CDTF">2026-05-13T11:03:00Z</dcterms:created>
  <dcterms:modified xsi:type="dcterms:W3CDTF">2026-05-13T11:03:00Z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