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21B53" w14:textId="5F4F3921" w:rsidR="00446150" w:rsidRPr="00662F7E" w:rsidRDefault="00446150" w:rsidP="00064F8C">
      <w:pPr>
        <w:pStyle w:val="Title"/>
      </w:pPr>
      <w:r>
        <w:rPr>
          <w:noProof/>
          <w:lang w:eastAsia="en-GB"/>
        </w:rPr>
        <w:drawing>
          <wp:anchor distT="0" distB="0" distL="114300" distR="114300" simplePos="0" relativeHeight="251661312" behindDoc="1" locked="0" layoutInCell="1" allowOverlap="1" wp14:anchorId="2FA3009B" wp14:editId="68D30130">
            <wp:simplePos x="0" y="0"/>
            <wp:positionH relativeFrom="column">
              <wp:posOffset>4572000</wp:posOffset>
            </wp:positionH>
            <wp:positionV relativeFrom="paragraph">
              <wp:posOffset>243</wp:posOffset>
            </wp:positionV>
            <wp:extent cx="2072579" cy="8763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2579" cy="876300"/>
                    </a:xfrm>
                    <a:prstGeom prst="rect">
                      <a:avLst/>
                    </a:prstGeom>
                  </pic:spPr>
                </pic:pic>
              </a:graphicData>
            </a:graphic>
          </wp:anchor>
        </w:drawing>
      </w:r>
      <w:r w:rsidR="00805491">
        <w:rPr>
          <w:noProof/>
          <w:lang w:eastAsia="en-GB"/>
        </w:rPr>
        <w:t>Recording of oral examinations:</w:t>
      </w:r>
      <w:r w:rsidR="00805491">
        <w:rPr>
          <w:noProof/>
          <w:lang w:eastAsia="en-GB"/>
        </w:rPr>
        <w:br/>
        <w:t>Policy and Guid</w:t>
      </w:r>
      <w:r w:rsidR="00012BCF">
        <w:rPr>
          <w:noProof/>
          <w:lang w:eastAsia="en-GB"/>
        </w:rPr>
        <w:t>elines</w:t>
      </w:r>
    </w:p>
    <w:p w14:paraId="2ADF0F2D" w14:textId="77777777" w:rsidR="00446150" w:rsidRDefault="00446150" w:rsidP="00446150"/>
    <w:p w14:paraId="4A560AE3" w14:textId="77777777" w:rsidR="00446150" w:rsidRDefault="00446150" w:rsidP="00446150"/>
    <w:p w14:paraId="61EC82A0" w14:textId="77777777" w:rsidR="00446150" w:rsidRDefault="00446150" w:rsidP="00446150"/>
    <w:p w14:paraId="495C1E00" w14:textId="02A5B681" w:rsidR="00446150" w:rsidRPr="00662F7E" w:rsidRDefault="00805491" w:rsidP="00446150">
      <w:pPr>
        <w:pStyle w:val="Heading1"/>
        <w:numPr>
          <w:ilvl w:val="0"/>
          <w:numId w:val="10"/>
        </w:numPr>
        <w:tabs>
          <w:tab w:val="clear" w:pos="4513"/>
          <w:tab w:val="clear" w:pos="9026"/>
        </w:tabs>
        <w:spacing w:before="240" w:after="40"/>
        <w:ind w:left="454" w:hanging="454"/>
      </w:pPr>
      <w:bookmarkStart w:id="0" w:name="General"/>
      <w:bookmarkEnd w:id="0"/>
      <w:r>
        <w:t>Policy</w:t>
      </w:r>
    </w:p>
    <w:p w14:paraId="6DF7B2B9" w14:textId="334FBB3C" w:rsidR="00446150" w:rsidRDefault="00805491" w:rsidP="00446150">
      <w:pPr>
        <w:pStyle w:val="ListParagraph"/>
        <w:numPr>
          <w:ilvl w:val="1"/>
          <w:numId w:val="10"/>
        </w:numPr>
        <w:tabs>
          <w:tab w:val="clear" w:pos="4513"/>
          <w:tab w:val="clear" w:pos="9026"/>
        </w:tabs>
        <w:spacing w:before="40" w:after="40"/>
        <w:ind w:left="454" w:hanging="454"/>
        <w:contextualSpacing w:val="0"/>
        <w:outlineLvl w:val="0"/>
      </w:pPr>
      <w:r w:rsidRPr="00771D52">
        <w:rPr>
          <w:lang w:val="en"/>
        </w:rPr>
        <w:t xml:space="preserve">In accordance with York St John University Regulations for Research Degrees, oral examinations will be subject to recording, or, in the exceptional cases detailed below, permission from the </w:t>
      </w:r>
      <w:r>
        <w:rPr>
          <w:lang w:val="en"/>
        </w:rPr>
        <w:t>Progress and Award Examination Panel</w:t>
      </w:r>
      <w:r w:rsidRPr="00771D52">
        <w:rPr>
          <w:lang w:val="en"/>
        </w:rPr>
        <w:t xml:space="preserve"> must be obtained for exemption from recording</w:t>
      </w:r>
      <w:r w:rsidR="00446150" w:rsidRPr="005D4A43">
        <w:t xml:space="preserve">. </w:t>
      </w:r>
    </w:p>
    <w:p w14:paraId="13AA3D39" w14:textId="70333BC6" w:rsidR="00805491" w:rsidRPr="00805491" w:rsidRDefault="00805491" w:rsidP="00446150">
      <w:pPr>
        <w:pStyle w:val="ListParagraph"/>
        <w:numPr>
          <w:ilvl w:val="1"/>
          <w:numId w:val="10"/>
        </w:numPr>
        <w:tabs>
          <w:tab w:val="clear" w:pos="4513"/>
          <w:tab w:val="clear" w:pos="9026"/>
        </w:tabs>
        <w:spacing w:before="40" w:after="40"/>
        <w:ind w:left="454" w:hanging="454"/>
        <w:contextualSpacing w:val="0"/>
        <w:outlineLvl w:val="0"/>
      </w:pPr>
      <w:r w:rsidRPr="00771D52">
        <w:rPr>
          <w:lang w:val="en"/>
        </w:rPr>
        <w:t>The recording provides an objective record of the oral examination. Oral Examinations are audio recorded and in cases where the examination is conducted in British Sign Language, video recorded.</w:t>
      </w:r>
    </w:p>
    <w:p w14:paraId="78890C11" w14:textId="415C1204" w:rsidR="00805491" w:rsidRPr="00805491" w:rsidRDefault="00805491" w:rsidP="00446150">
      <w:pPr>
        <w:pStyle w:val="ListParagraph"/>
        <w:numPr>
          <w:ilvl w:val="1"/>
          <w:numId w:val="10"/>
        </w:numPr>
        <w:tabs>
          <w:tab w:val="clear" w:pos="4513"/>
          <w:tab w:val="clear" w:pos="9026"/>
        </w:tabs>
        <w:spacing w:before="40" w:after="40"/>
        <w:ind w:left="454" w:hanging="454"/>
        <w:contextualSpacing w:val="0"/>
        <w:outlineLvl w:val="0"/>
      </w:pPr>
      <w:r w:rsidRPr="00771D52">
        <w:rPr>
          <w:lang w:val="en"/>
        </w:rPr>
        <w:t>The recording will be only be replayed in the following circumstances</w:t>
      </w:r>
      <w:r>
        <w:rPr>
          <w:lang w:val="en"/>
        </w:rPr>
        <w:t>:</w:t>
      </w:r>
    </w:p>
    <w:p w14:paraId="042BEEE9" w14:textId="6C71B7C1" w:rsidR="00805491" w:rsidRDefault="00805491" w:rsidP="00805491">
      <w:pPr>
        <w:pStyle w:val="ListParagraph"/>
        <w:numPr>
          <w:ilvl w:val="2"/>
          <w:numId w:val="10"/>
        </w:numPr>
        <w:tabs>
          <w:tab w:val="clear" w:pos="4513"/>
          <w:tab w:val="clear" w:pos="9026"/>
        </w:tabs>
        <w:spacing w:before="40" w:after="40"/>
        <w:ind w:left="1894"/>
        <w:contextualSpacing w:val="0"/>
        <w:outlineLvl w:val="0"/>
      </w:pPr>
      <w:r>
        <w:rPr>
          <w:b/>
          <w:lang w:val="en"/>
        </w:rPr>
        <w:t>I</w:t>
      </w:r>
      <w:r w:rsidRPr="00771D52">
        <w:rPr>
          <w:b/>
          <w:lang w:val="en"/>
        </w:rPr>
        <w:t>n the event of an appeal</w:t>
      </w:r>
      <w:r>
        <w:rPr>
          <w:b/>
          <w:lang w:val="en"/>
        </w:rPr>
        <w:t>/complaint.</w:t>
      </w:r>
      <w:r w:rsidRPr="00771D52">
        <w:t xml:space="preserve"> </w:t>
      </w:r>
      <w:r>
        <w:br/>
      </w:r>
      <w:r w:rsidRPr="00771D52">
        <w:t xml:space="preserve">The recording will only be played back by staff </w:t>
      </w:r>
      <w:r>
        <w:t xml:space="preserve">who </w:t>
      </w:r>
      <w:r w:rsidRPr="00771D52">
        <w:t>are involved in the investigation into the appeal/complaint</w:t>
      </w:r>
      <w:r>
        <w:t>.</w:t>
      </w:r>
    </w:p>
    <w:p w14:paraId="3DAD789A" w14:textId="105B2BA7" w:rsidR="00805491" w:rsidRPr="00012BCF" w:rsidRDefault="00805491" w:rsidP="00805491">
      <w:pPr>
        <w:pStyle w:val="ListParagraph"/>
        <w:numPr>
          <w:ilvl w:val="2"/>
          <w:numId w:val="10"/>
        </w:numPr>
        <w:tabs>
          <w:tab w:val="clear" w:pos="4513"/>
          <w:tab w:val="clear" w:pos="9026"/>
        </w:tabs>
        <w:spacing w:before="40" w:after="40"/>
        <w:ind w:left="1894"/>
        <w:contextualSpacing w:val="0"/>
        <w:outlineLvl w:val="0"/>
      </w:pPr>
      <w:r>
        <w:rPr>
          <w:b/>
          <w:lang w:val="en"/>
        </w:rPr>
        <w:t>I</w:t>
      </w:r>
      <w:r w:rsidRPr="00771D52">
        <w:rPr>
          <w:b/>
          <w:lang w:val="en"/>
        </w:rPr>
        <w:t>n the event that the examiners have failed to agree between themselves</w:t>
      </w:r>
      <w:r>
        <w:rPr>
          <w:b/>
          <w:lang w:val="en"/>
        </w:rPr>
        <w:t>.</w:t>
      </w:r>
      <w:r w:rsidR="00012BCF">
        <w:rPr>
          <w:b/>
          <w:lang w:val="en"/>
        </w:rPr>
        <w:br/>
      </w:r>
      <w:r w:rsidR="00012BCF" w:rsidRPr="00771D52">
        <w:rPr>
          <w:lang w:val="en"/>
        </w:rPr>
        <w:t>If the examiners fail to agree on whether or not the candidate has satisfied the requirements for a particular degree, and the Research Degrees Committee has been unable to resolve the disagreement</w:t>
      </w:r>
      <w:r w:rsidR="00012BCF" w:rsidRPr="0031329B">
        <w:rPr>
          <w:lang w:val="en"/>
        </w:rPr>
        <w:t>,</w:t>
      </w:r>
      <w:r w:rsidR="00012BCF" w:rsidRPr="00771D52">
        <w:rPr>
          <w:b/>
          <w:lang w:val="en"/>
        </w:rPr>
        <w:t xml:space="preserve"> </w:t>
      </w:r>
      <w:r w:rsidR="00012BCF" w:rsidRPr="00771D52">
        <w:rPr>
          <w:lang w:val="en"/>
        </w:rPr>
        <w:t xml:space="preserve">the </w:t>
      </w:r>
      <w:r w:rsidR="00012BCF">
        <w:rPr>
          <w:lang w:val="en"/>
        </w:rPr>
        <w:t>Progress and Award Examination Panel</w:t>
      </w:r>
      <w:r w:rsidR="00012BCF" w:rsidRPr="00771D52">
        <w:rPr>
          <w:lang w:val="en"/>
        </w:rPr>
        <w:t xml:space="preserve"> will appoint an adjudicator who will play the recording back as part of the process to resolve the disagreement</w:t>
      </w:r>
      <w:r w:rsidR="00012BCF">
        <w:rPr>
          <w:lang w:val="en"/>
        </w:rPr>
        <w:t>.</w:t>
      </w:r>
    </w:p>
    <w:p w14:paraId="14A657F3" w14:textId="14CEC36B" w:rsidR="00012BCF" w:rsidRPr="00012BCF" w:rsidRDefault="00012BCF" w:rsidP="00805491">
      <w:pPr>
        <w:pStyle w:val="ListParagraph"/>
        <w:numPr>
          <w:ilvl w:val="2"/>
          <w:numId w:val="10"/>
        </w:numPr>
        <w:tabs>
          <w:tab w:val="clear" w:pos="4513"/>
          <w:tab w:val="clear" w:pos="9026"/>
        </w:tabs>
        <w:spacing w:before="40" w:after="40"/>
        <w:ind w:left="1894"/>
        <w:contextualSpacing w:val="0"/>
        <w:outlineLvl w:val="0"/>
      </w:pPr>
      <w:r w:rsidRPr="00012BCF">
        <w:rPr>
          <w:b/>
          <w:lang w:val="en"/>
        </w:rPr>
        <w:t>in the event that prior written consent has been received from all participants for the recording to be ethically studied within an approved research project.</w:t>
      </w:r>
      <w:r>
        <w:rPr>
          <w:b/>
          <w:lang w:val="en"/>
        </w:rPr>
        <w:br/>
      </w:r>
      <w:r>
        <w:rPr>
          <w:lang w:val="en"/>
        </w:rPr>
        <w:t xml:space="preserve">The recording will only be played back by members of an approved research team where written consent has been received from all participants after the final result of the examination has been confirmed by the </w:t>
      </w:r>
      <w:r w:rsidR="002C2675">
        <w:rPr>
          <w:lang w:val="en"/>
        </w:rPr>
        <w:t>Progress and Award Examination Panel</w:t>
      </w:r>
      <w:r>
        <w:rPr>
          <w:lang w:val="en"/>
        </w:rPr>
        <w:t>. Recordings will be studied in accordance with a methodology that has been subject to ethical approval, will be securely stored by the research team, and will be erased in accordance with paragraph 12 below.</w:t>
      </w:r>
    </w:p>
    <w:p w14:paraId="68BF223A" w14:textId="0A84FF22" w:rsidR="00012BCF" w:rsidRPr="00012BCF" w:rsidRDefault="00012BCF" w:rsidP="00012BCF">
      <w:pPr>
        <w:pStyle w:val="ListParagraph"/>
        <w:numPr>
          <w:ilvl w:val="1"/>
          <w:numId w:val="10"/>
        </w:numPr>
        <w:tabs>
          <w:tab w:val="clear" w:pos="4513"/>
          <w:tab w:val="clear" w:pos="9026"/>
        </w:tabs>
        <w:spacing w:before="40" w:after="40"/>
        <w:ind w:left="432"/>
        <w:contextualSpacing w:val="0"/>
        <w:outlineLvl w:val="0"/>
      </w:pPr>
      <w:r w:rsidRPr="00012BCF">
        <w:t>The recording will not be replayed except in situations (i), (ii), and (iii) above, which are the sole purposes for which the recording is made. The recording will not be copied without the prior written consent of all participants, and only in situation (iii) above. The University’s understanding of the position in relation to statutory disclosure is set out below.</w:t>
      </w:r>
    </w:p>
    <w:p w14:paraId="52906369" w14:textId="2F581D61" w:rsidR="00446150" w:rsidRDefault="00012BCF" w:rsidP="00446150">
      <w:pPr>
        <w:pStyle w:val="Heading1"/>
        <w:numPr>
          <w:ilvl w:val="0"/>
          <w:numId w:val="10"/>
        </w:numPr>
        <w:tabs>
          <w:tab w:val="clear" w:pos="4513"/>
          <w:tab w:val="clear" w:pos="9026"/>
        </w:tabs>
        <w:spacing w:before="240" w:after="40"/>
        <w:ind w:left="454" w:hanging="454"/>
      </w:pPr>
      <w:r>
        <w:rPr>
          <w:szCs w:val="22"/>
        </w:rPr>
        <w:t>Guidelines</w:t>
      </w:r>
    </w:p>
    <w:p w14:paraId="612FDFF3" w14:textId="1893CD4E" w:rsidR="002C2675" w:rsidRDefault="00D71976" w:rsidP="002C2675">
      <w:pPr>
        <w:pStyle w:val="ListParagraph"/>
        <w:numPr>
          <w:ilvl w:val="1"/>
          <w:numId w:val="10"/>
        </w:numPr>
        <w:tabs>
          <w:tab w:val="clear" w:pos="4513"/>
          <w:tab w:val="clear" w:pos="9026"/>
        </w:tabs>
        <w:spacing w:before="40" w:after="40"/>
        <w:ind w:left="426"/>
        <w:outlineLvl w:val="0"/>
      </w:pPr>
      <w:r>
        <w:t>The PGR School</w:t>
      </w:r>
      <w:r w:rsidR="002C2675">
        <w:t xml:space="preserve"> shall ensure that all research degree oral examinations are recorded, or, in the exceptional cases detailed below, that permission from the Progress and Award Examination Panel is obtained for exemption from recording. Audio and video equipment will be maintained by Media Services. Only the official recording is permitted; participants in the oral examination are not permitted to make their own recordings.</w:t>
      </w:r>
    </w:p>
    <w:p w14:paraId="5810A47A" w14:textId="77777777" w:rsidR="002C2675" w:rsidRDefault="002C2675" w:rsidP="002C2675">
      <w:pPr>
        <w:pStyle w:val="ListParagraph"/>
        <w:numPr>
          <w:ilvl w:val="1"/>
          <w:numId w:val="10"/>
        </w:numPr>
        <w:tabs>
          <w:tab w:val="clear" w:pos="4513"/>
          <w:tab w:val="clear" w:pos="9026"/>
        </w:tabs>
        <w:spacing w:before="40" w:after="40"/>
        <w:ind w:left="426"/>
        <w:outlineLvl w:val="0"/>
      </w:pPr>
      <w:r>
        <w:t xml:space="preserve">Supervisors are asked to inform external examiners prior to nomination that the oral examination will be recorded and to confirm their assent on the Application for Assessment. Prospective external examiners should be notified that the recordings will be held and treated in confidence. </w:t>
      </w:r>
    </w:p>
    <w:p w14:paraId="5FE08590" w14:textId="474B73C3" w:rsidR="002C2675" w:rsidRDefault="002C2675" w:rsidP="002C2675">
      <w:pPr>
        <w:pStyle w:val="ListParagraph"/>
        <w:numPr>
          <w:ilvl w:val="1"/>
          <w:numId w:val="10"/>
        </w:numPr>
        <w:tabs>
          <w:tab w:val="clear" w:pos="4513"/>
          <w:tab w:val="clear" w:pos="9026"/>
        </w:tabs>
        <w:spacing w:before="40" w:after="40"/>
        <w:ind w:left="426"/>
        <w:outlineLvl w:val="0"/>
      </w:pPr>
      <w:r>
        <w:t xml:space="preserve">Supervisors are asked to remind their research students that oral examinations will be recorded and the reasons for this. Students will be reminded by </w:t>
      </w:r>
      <w:r w:rsidR="00D71976">
        <w:t>the</w:t>
      </w:r>
      <w:r w:rsidR="00D71976" w:rsidRPr="00D71976">
        <w:t xml:space="preserve"> </w:t>
      </w:r>
      <w:r w:rsidR="00D71976">
        <w:t>PGR School</w:t>
      </w:r>
      <w:r>
        <w:t xml:space="preserve"> when they submit their thesis that the oral examination will be recorded and that recordings will be held and treated in confidence.</w:t>
      </w:r>
    </w:p>
    <w:p w14:paraId="5A6A29EC" w14:textId="45B51496" w:rsidR="002C2675" w:rsidRDefault="002C2675" w:rsidP="002C2675">
      <w:pPr>
        <w:pStyle w:val="ListParagraph"/>
        <w:numPr>
          <w:ilvl w:val="1"/>
          <w:numId w:val="10"/>
        </w:numPr>
        <w:tabs>
          <w:tab w:val="clear" w:pos="4513"/>
          <w:tab w:val="clear" w:pos="9026"/>
        </w:tabs>
        <w:spacing w:before="40" w:after="40"/>
        <w:ind w:left="426"/>
        <w:outlineLvl w:val="0"/>
      </w:pPr>
      <w:r>
        <w:t xml:space="preserve">The recording is made using equipment authorised for this purpose by the Progress and Award Examination Panel. Media Services maintain the approved equipment. Memory cards, which </w:t>
      </w:r>
      <w:r>
        <w:lastRenderedPageBreak/>
        <w:t xml:space="preserve">are required for the recording and have the status of an examination script, are sent to the independent chair when a thesis is sent out for examination. If the recording fails at any time during the examination, the oral examination should continue unrecorded and </w:t>
      </w:r>
      <w:r w:rsidR="00D71976">
        <w:t>the PGR School</w:t>
      </w:r>
      <w:r>
        <w:t xml:space="preserve"> should be informed as soon as possible.</w:t>
      </w:r>
    </w:p>
    <w:p w14:paraId="1859061D" w14:textId="6AFE3E6C" w:rsidR="002C2675" w:rsidRDefault="00D71976" w:rsidP="002C2675">
      <w:pPr>
        <w:pStyle w:val="ListParagraph"/>
        <w:numPr>
          <w:ilvl w:val="1"/>
          <w:numId w:val="10"/>
        </w:numPr>
        <w:tabs>
          <w:tab w:val="clear" w:pos="4513"/>
          <w:tab w:val="clear" w:pos="9026"/>
        </w:tabs>
        <w:spacing w:before="40" w:after="40"/>
        <w:ind w:left="426"/>
        <w:outlineLvl w:val="0"/>
      </w:pPr>
      <w:r>
        <w:t>The PGR School</w:t>
      </w:r>
      <w:r w:rsidR="002C2675">
        <w:t xml:space="preserve"> is responsible for ensuring that a designated person is available before the start of the examination to assist examiners with recording equipment. Before the examination, the designated person should enter the student’s name and student number and the date of the examination on the memory card envelope. The designated person will also provide a short script to be read at the beginning of the recording, in order to associate the recording to the candidate.</w:t>
      </w:r>
    </w:p>
    <w:p w14:paraId="487A20D9" w14:textId="77777777" w:rsidR="002C2675" w:rsidRDefault="002C2675" w:rsidP="002C2675">
      <w:pPr>
        <w:pStyle w:val="ListParagraph"/>
        <w:numPr>
          <w:ilvl w:val="1"/>
          <w:numId w:val="10"/>
        </w:numPr>
        <w:tabs>
          <w:tab w:val="clear" w:pos="4513"/>
          <w:tab w:val="clear" w:pos="9026"/>
        </w:tabs>
        <w:spacing w:before="40" w:after="40"/>
        <w:ind w:left="426"/>
        <w:outlineLvl w:val="0"/>
      </w:pPr>
      <w:r>
        <w:t>The independent chair will inform those present at the start of the examination that the recording equipment is being switched on, and at the end of the examination that it is being switched off. The recording should end when the oral examination is complete, and the candidate leaves the examination room prior to the private discussion of the examiners. Neither the private discussion of the examiners, nor any subsequent discussion between the candidate and the examiners, should be recorded.</w:t>
      </w:r>
    </w:p>
    <w:p w14:paraId="2A3545D8" w14:textId="1B317D3C" w:rsidR="002C2675" w:rsidRDefault="002C2675" w:rsidP="002C2675">
      <w:pPr>
        <w:pStyle w:val="ListParagraph"/>
        <w:numPr>
          <w:ilvl w:val="1"/>
          <w:numId w:val="10"/>
        </w:numPr>
        <w:tabs>
          <w:tab w:val="clear" w:pos="4513"/>
          <w:tab w:val="clear" w:pos="9026"/>
        </w:tabs>
        <w:spacing w:before="40" w:after="40"/>
        <w:ind w:left="426"/>
        <w:outlineLvl w:val="0"/>
      </w:pPr>
      <w:r>
        <w:t xml:space="preserve">After the oral examination, the memory card should be removed from the equipment by the designated person, sealed in the envelope and retained in </w:t>
      </w:r>
      <w:r w:rsidR="00D71976">
        <w:t>the PGR School</w:t>
      </w:r>
      <w:r>
        <w:t xml:space="preserve"> for secure storage. No copy of the recording should be made, nor should it be played back (other than in the circumstances described in 1.3 and 1.4 above).</w:t>
      </w:r>
    </w:p>
    <w:p w14:paraId="22697B15" w14:textId="6A09235D" w:rsidR="002C2675" w:rsidRDefault="002C2675" w:rsidP="002C2675">
      <w:pPr>
        <w:pStyle w:val="ListParagraph"/>
        <w:numPr>
          <w:ilvl w:val="1"/>
          <w:numId w:val="10"/>
        </w:numPr>
        <w:tabs>
          <w:tab w:val="clear" w:pos="4513"/>
          <w:tab w:val="clear" w:pos="9026"/>
        </w:tabs>
        <w:spacing w:before="40" w:after="40"/>
        <w:ind w:left="426"/>
        <w:outlineLvl w:val="0"/>
      </w:pPr>
      <w:r>
        <w:t xml:space="preserve">The recording will be stored securely by </w:t>
      </w:r>
      <w:r w:rsidR="00D71976">
        <w:t>the PGR School</w:t>
      </w:r>
      <w:r>
        <w:t>. It will be erased one year after the final result of the examination has been confirmed by the Progress and Award Examination Panel, or, if an appeal is received, after consideration of the appeal within the University or subsequently by the Office of the Independent Adjudicator for Higher Education has been concluded. Receipt and erasure of recordings will be documented.</w:t>
      </w:r>
    </w:p>
    <w:p w14:paraId="75D12CA6" w14:textId="77777777" w:rsidR="002C2675" w:rsidRDefault="002C2675" w:rsidP="002C2675">
      <w:pPr>
        <w:pStyle w:val="ListParagraph"/>
        <w:numPr>
          <w:ilvl w:val="1"/>
          <w:numId w:val="10"/>
        </w:numPr>
        <w:tabs>
          <w:tab w:val="clear" w:pos="4513"/>
          <w:tab w:val="clear" w:pos="9026"/>
        </w:tabs>
        <w:spacing w:before="40" w:after="40"/>
        <w:ind w:left="426"/>
        <w:outlineLvl w:val="0"/>
      </w:pPr>
      <w:r>
        <w:t>The recording has the status of an examination script and is therefore exempt from subject access requests under the Data Protection Act (the Act does not restrict the media that can constitute an exam script). However, this exemption does not extend to the examiners’ comments on the candidate’s performance, or any other form of feedback or conversation beyond the requirements of the examination. Provided these are not recorded, the recordings are exempt from data requests by the student. The recording cannot be released to a third party under the Freedom of Information Act because it holds the candidate’s personal data, the wider disclosure of which is likely to be unfair and contrary to the purposes for which the data were obtained (see above).</w:t>
      </w:r>
    </w:p>
    <w:p w14:paraId="56312322" w14:textId="42361261" w:rsidR="002C2675" w:rsidRDefault="002C2675" w:rsidP="002C2675">
      <w:pPr>
        <w:pStyle w:val="ListParagraph"/>
        <w:numPr>
          <w:ilvl w:val="1"/>
          <w:numId w:val="10"/>
        </w:numPr>
        <w:tabs>
          <w:tab w:val="clear" w:pos="4513"/>
          <w:tab w:val="clear" w:pos="9026"/>
        </w:tabs>
        <w:spacing w:before="40" w:after="40"/>
        <w:ind w:left="426"/>
        <w:outlineLvl w:val="0"/>
      </w:pPr>
      <w:r>
        <w:t xml:space="preserve">For the grounds for appeal and the procedure for consideration of appeals, please see: </w:t>
      </w:r>
      <w:hyperlink r:id="rId9" w:history="1">
        <w:r w:rsidR="00E95CB2">
          <w:rPr>
            <w:rStyle w:val="Hyperlink"/>
          </w:rPr>
          <w:t>Appeals and Complaints</w:t>
        </w:r>
      </w:hyperlink>
      <w:r w:rsidR="00E95CB2">
        <w:t>.</w:t>
      </w:r>
    </w:p>
    <w:p w14:paraId="3AFC75E0" w14:textId="77777777" w:rsidR="009E78BA" w:rsidRPr="00EB3594" w:rsidRDefault="009E78BA" w:rsidP="00EB3594"/>
    <w:tbl>
      <w:tblPr>
        <w:tblStyle w:val="TableGrid"/>
        <w:tblW w:w="0" w:type="auto"/>
        <w:tblBorders>
          <w:top w:val="single" w:sz="4" w:space="0" w:color="7C7D7F"/>
          <w:left w:val="single" w:sz="4" w:space="0" w:color="7C7D7F"/>
          <w:bottom w:val="single" w:sz="4" w:space="0" w:color="7C7D7F"/>
          <w:right w:val="single" w:sz="4" w:space="0" w:color="7C7D7F"/>
          <w:insideH w:val="none" w:sz="0" w:space="0" w:color="auto"/>
          <w:insideV w:val="none" w:sz="0" w:space="0" w:color="auto"/>
        </w:tblBorders>
        <w:tblLook w:val="04A0" w:firstRow="1" w:lastRow="0" w:firstColumn="1" w:lastColumn="0" w:noHBand="0" w:noVBand="1"/>
      </w:tblPr>
      <w:tblGrid>
        <w:gridCol w:w="1498"/>
        <w:gridCol w:w="8238"/>
      </w:tblGrid>
      <w:tr w:rsidR="00446150" w:rsidRPr="00174A88" w14:paraId="4FB6F2DC" w14:textId="77777777" w:rsidTr="0026365A">
        <w:tc>
          <w:tcPr>
            <w:tcW w:w="1526" w:type="dxa"/>
            <w:tcMar>
              <w:top w:w="57" w:type="dxa"/>
              <w:bottom w:w="57" w:type="dxa"/>
            </w:tcMar>
          </w:tcPr>
          <w:p w14:paraId="676575F8" w14:textId="77777777" w:rsidR="00446150" w:rsidRPr="004169BC" w:rsidRDefault="00446150" w:rsidP="0026365A">
            <w:pPr>
              <w:pStyle w:val="VersionControl"/>
              <w:rPr>
                <w:rStyle w:val="Emphasis"/>
                <w:b w:val="0"/>
                <w:iCs w:val="0"/>
              </w:rPr>
            </w:pPr>
            <w:r w:rsidRPr="004169BC">
              <w:rPr>
                <w:rStyle w:val="Emphasis"/>
              </w:rPr>
              <w:t>Associated links:</w:t>
            </w:r>
          </w:p>
        </w:tc>
        <w:tc>
          <w:tcPr>
            <w:tcW w:w="9156" w:type="dxa"/>
            <w:tcMar>
              <w:top w:w="57" w:type="dxa"/>
              <w:bottom w:w="57" w:type="dxa"/>
            </w:tcMar>
          </w:tcPr>
          <w:p w14:paraId="705BF9F6" w14:textId="4C5E5CDF" w:rsidR="00EB3594" w:rsidRDefault="00000000" w:rsidP="00EB39A9">
            <w:pPr>
              <w:pStyle w:val="VersionControl"/>
              <w:rPr>
                <w:rStyle w:val="Hyperlink"/>
              </w:rPr>
            </w:pPr>
            <w:hyperlink r:id="rId10" w:history="1">
              <w:r w:rsidR="00E95CB2" w:rsidRPr="00A61E5D">
                <w:rPr>
                  <w:rStyle w:val="Hyperlink"/>
                </w:rPr>
                <w:t>Guide to the Examination Process for Research Degrees</w:t>
              </w:r>
            </w:hyperlink>
          </w:p>
          <w:p w14:paraId="3A6BAC1F" w14:textId="6F065372" w:rsidR="00E95CB2" w:rsidRPr="00A61E5D" w:rsidRDefault="00E95CB2" w:rsidP="00EB39A9">
            <w:pPr>
              <w:pStyle w:val="VersionControl"/>
              <w:rPr>
                <w:rStyle w:val="Hyperlink"/>
                <w:u w:val="none"/>
              </w:rPr>
            </w:pPr>
            <w:r w:rsidRPr="00A61E5D">
              <w:rPr>
                <w:rStyle w:val="Hyperlink"/>
                <w:color w:val="auto"/>
                <w:u w:val="none"/>
              </w:rPr>
              <w:t>Instructions to Examiners</w:t>
            </w:r>
            <w:r w:rsidR="00A61E5D" w:rsidRPr="00A61E5D">
              <w:rPr>
                <w:rStyle w:val="Hyperlink"/>
                <w:color w:val="auto"/>
                <w:u w:val="none"/>
              </w:rPr>
              <w:t xml:space="preserve"> (</w:t>
            </w:r>
            <w:hyperlink r:id="rId11" w:history="1">
              <w:r w:rsidR="00A61E5D" w:rsidRPr="00A61E5D">
                <w:rPr>
                  <w:rStyle w:val="Hyperlink"/>
                </w:rPr>
                <w:t>MA by R</w:t>
              </w:r>
            </w:hyperlink>
            <w:r w:rsidR="00A61E5D" w:rsidRPr="00A61E5D">
              <w:rPr>
                <w:rStyle w:val="Hyperlink"/>
                <w:color w:val="auto"/>
                <w:u w:val="none"/>
              </w:rPr>
              <w:t xml:space="preserve"> / </w:t>
            </w:r>
            <w:hyperlink r:id="rId12" w:history="1">
              <w:r w:rsidR="00A61E5D" w:rsidRPr="00A61E5D">
                <w:rPr>
                  <w:rStyle w:val="Hyperlink"/>
                </w:rPr>
                <w:t>PhD, MPhil, Prof Doc</w:t>
              </w:r>
            </w:hyperlink>
            <w:r w:rsidR="00A61E5D" w:rsidRPr="00A61E5D">
              <w:rPr>
                <w:rStyle w:val="Hyperlink"/>
                <w:color w:val="auto"/>
                <w:u w:val="none"/>
              </w:rPr>
              <w:t xml:space="preserve">) </w:t>
            </w:r>
          </w:p>
        </w:tc>
      </w:tr>
    </w:tbl>
    <w:p w14:paraId="388FB458" w14:textId="77777777" w:rsidR="00446150" w:rsidRDefault="00446150" w:rsidP="00446150"/>
    <w:p w14:paraId="7C066650" w14:textId="77777777" w:rsidR="00446150" w:rsidRPr="00334FAF" w:rsidRDefault="00446150" w:rsidP="00446150">
      <w:pPr>
        <w:pStyle w:val="Heading2"/>
      </w:pPr>
      <w:r w:rsidRPr="00334FAF">
        <w:t xml:space="preserve">Version </w:t>
      </w:r>
      <w:r>
        <w:t>c</w:t>
      </w:r>
      <w:r w:rsidRPr="00334FAF">
        <w:t xml:space="preserve">ontrol </w:t>
      </w:r>
      <w:r>
        <w:t>s</w:t>
      </w:r>
      <w:r w:rsidRPr="00334FAF">
        <w:t>tatement</w:t>
      </w:r>
    </w:p>
    <w:tbl>
      <w:tblPr>
        <w:tblStyle w:val="TableGrid"/>
        <w:tblW w:w="0" w:type="auto"/>
        <w:tblLook w:val="04A0" w:firstRow="1" w:lastRow="0" w:firstColumn="1" w:lastColumn="0" w:noHBand="0" w:noVBand="1"/>
      </w:tblPr>
      <w:tblGrid>
        <w:gridCol w:w="2233"/>
        <w:gridCol w:w="7503"/>
      </w:tblGrid>
      <w:tr w:rsidR="00446150" w:rsidRPr="00334FAF" w14:paraId="33EA841C" w14:textId="77777777" w:rsidTr="0026365A">
        <w:tc>
          <w:tcPr>
            <w:tcW w:w="2376" w:type="dxa"/>
            <w:vAlign w:val="center"/>
          </w:tcPr>
          <w:p w14:paraId="1C8FFCCE" w14:textId="77777777" w:rsidR="00446150" w:rsidRPr="00A7121B" w:rsidRDefault="00446150" w:rsidP="0026365A">
            <w:pPr>
              <w:pStyle w:val="VersionControl"/>
              <w:rPr>
                <w:rStyle w:val="Emphasis"/>
                <w:b w:val="0"/>
                <w:iCs w:val="0"/>
              </w:rPr>
            </w:pPr>
            <w:r w:rsidRPr="00A7121B">
              <w:rPr>
                <w:rStyle w:val="Emphasis"/>
              </w:rPr>
              <w:t>Policy reference code:</w:t>
            </w:r>
          </w:p>
        </w:tc>
        <w:tc>
          <w:tcPr>
            <w:tcW w:w="8306" w:type="dxa"/>
            <w:vAlign w:val="center"/>
          </w:tcPr>
          <w:p w14:paraId="5AE23A7C" w14:textId="77777777" w:rsidR="00446150" w:rsidRPr="00334FAF" w:rsidRDefault="00446150" w:rsidP="0026365A">
            <w:pPr>
              <w:pStyle w:val="VersionControl"/>
            </w:pPr>
            <w:r>
              <w:t>TBC</w:t>
            </w:r>
          </w:p>
        </w:tc>
      </w:tr>
      <w:tr w:rsidR="00446150" w:rsidRPr="00334FAF" w14:paraId="7B5D90C0" w14:textId="77777777" w:rsidTr="0026365A">
        <w:tc>
          <w:tcPr>
            <w:tcW w:w="2376" w:type="dxa"/>
            <w:vAlign w:val="center"/>
          </w:tcPr>
          <w:p w14:paraId="46DAF093" w14:textId="77777777" w:rsidR="00446150" w:rsidRPr="00334FAF" w:rsidRDefault="00446150" w:rsidP="0026365A">
            <w:pPr>
              <w:pStyle w:val="VersionControl"/>
            </w:pPr>
            <w:r w:rsidRPr="00334FAF">
              <w:t>Version:</w:t>
            </w:r>
          </w:p>
        </w:tc>
        <w:tc>
          <w:tcPr>
            <w:tcW w:w="8306" w:type="dxa"/>
            <w:vAlign w:val="center"/>
          </w:tcPr>
          <w:p w14:paraId="584C1F67" w14:textId="22D0AE89" w:rsidR="00446150" w:rsidRPr="00334FAF" w:rsidRDefault="00BA4DA9" w:rsidP="0026365A">
            <w:pPr>
              <w:pStyle w:val="VersionControl"/>
            </w:pPr>
            <w:r>
              <w:t>2</w:t>
            </w:r>
          </w:p>
        </w:tc>
      </w:tr>
      <w:tr w:rsidR="00446150" w:rsidRPr="00334FAF" w14:paraId="4CE314CC" w14:textId="77777777" w:rsidTr="0026365A">
        <w:tc>
          <w:tcPr>
            <w:tcW w:w="2376" w:type="dxa"/>
            <w:vAlign w:val="center"/>
          </w:tcPr>
          <w:p w14:paraId="4F8709E3" w14:textId="77777777" w:rsidR="00446150" w:rsidRPr="00334FAF" w:rsidRDefault="00446150" w:rsidP="0026365A">
            <w:pPr>
              <w:pStyle w:val="VersionControl"/>
            </w:pPr>
            <w:r w:rsidRPr="00334FAF">
              <w:t>Document title:</w:t>
            </w:r>
          </w:p>
        </w:tc>
        <w:tc>
          <w:tcPr>
            <w:tcW w:w="8306" w:type="dxa"/>
            <w:vAlign w:val="center"/>
          </w:tcPr>
          <w:p w14:paraId="0A93384A" w14:textId="77C54652" w:rsidR="00446150" w:rsidRPr="00334FAF" w:rsidRDefault="00BA4DA9" w:rsidP="0026365A">
            <w:pPr>
              <w:pStyle w:val="VersionControl"/>
            </w:pPr>
            <w:r>
              <w:t>Recording of Oral Examinations:  Policy and Guidelines</w:t>
            </w:r>
          </w:p>
        </w:tc>
      </w:tr>
      <w:tr w:rsidR="00446150" w:rsidRPr="00334FAF" w14:paraId="165412B3" w14:textId="77777777" w:rsidTr="0026365A">
        <w:tc>
          <w:tcPr>
            <w:tcW w:w="2376" w:type="dxa"/>
            <w:vAlign w:val="center"/>
          </w:tcPr>
          <w:p w14:paraId="3EA1AC81" w14:textId="77777777" w:rsidR="00446150" w:rsidRPr="00334FAF" w:rsidRDefault="00446150" w:rsidP="0026365A">
            <w:pPr>
              <w:pStyle w:val="VersionControl"/>
            </w:pPr>
            <w:r w:rsidRPr="00334FAF">
              <w:t>Author role and department:</w:t>
            </w:r>
          </w:p>
        </w:tc>
        <w:tc>
          <w:tcPr>
            <w:tcW w:w="8306" w:type="dxa"/>
            <w:vAlign w:val="center"/>
          </w:tcPr>
          <w:p w14:paraId="5B6394E6" w14:textId="10A147C6" w:rsidR="00446150" w:rsidRPr="00334FAF" w:rsidRDefault="00D71976" w:rsidP="0026365A">
            <w:pPr>
              <w:pStyle w:val="VersionControl"/>
            </w:pPr>
            <w:r>
              <w:t>PGR School</w:t>
            </w:r>
          </w:p>
        </w:tc>
      </w:tr>
      <w:tr w:rsidR="00446150" w:rsidRPr="00334FAF" w14:paraId="5E0C4746" w14:textId="77777777" w:rsidTr="0026365A">
        <w:tc>
          <w:tcPr>
            <w:tcW w:w="2376" w:type="dxa"/>
            <w:vAlign w:val="center"/>
          </w:tcPr>
          <w:p w14:paraId="325E1A05" w14:textId="77777777" w:rsidR="00446150" w:rsidRPr="00334FAF" w:rsidRDefault="00446150" w:rsidP="0026365A">
            <w:pPr>
              <w:pStyle w:val="VersionControl"/>
            </w:pPr>
            <w:r w:rsidRPr="00334FAF">
              <w:t>Approved date:</w:t>
            </w:r>
          </w:p>
        </w:tc>
        <w:tc>
          <w:tcPr>
            <w:tcW w:w="8306" w:type="dxa"/>
            <w:vAlign w:val="center"/>
          </w:tcPr>
          <w:p w14:paraId="5F19061C" w14:textId="5C526448" w:rsidR="00446150" w:rsidRPr="00334FAF" w:rsidRDefault="00BA4DA9" w:rsidP="0026365A">
            <w:pPr>
              <w:pStyle w:val="VersionControl"/>
            </w:pPr>
            <w:r>
              <w:t>5 March 2020</w:t>
            </w:r>
          </w:p>
        </w:tc>
      </w:tr>
      <w:tr w:rsidR="00446150" w:rsidRPr="00334FAF" w14:paraId="75F9298C" w14:textId="77777777" w:rsidTr="0026365A">
        <w:tc>
          <w:tcPr>
            <w:tcW w:w="2376" w:type="dxa"/>
            <w:vAlign w:val="center"/>
          </w:tcPr>
          <w:p w14:paraId="18171FE0" w14:textId="77777777" w:rsidR="00446150" w:rsidRPr="00334FAF" w:rsidRDefault="00446150" w:rsidP="0026365A">
            <w:pPr>
              <w:pStyle w:val="VersionControl"/>
            </w:pPr>
            <w:r w:rsidRPr="00334FAF">
              <w:t>Approved by:</w:t>
            </w:r>
          </w:p>
        </w:tc>
        <w:tc>
          <w:tcPr>
            <w:tcW w:w="8306" w:type="dxa"/>
            <w:vAlign w:val="center"/>
          </w:tcPr>
          <w:p w14:paraId="4A2E86E0" w14:textId="2E18D2A6" w:rsidR="00446150" w:rsidRPr="00334FAF" w:rsidRDefault="00BA4DA9" w:rsidP="0026365A">
            <w:pPr>
              <w:pStyle w:val="VersionControl"/>
            </w:pPr>
            <w:r>
              <w:t>RDC</w:t>
            </w:r>
          </w:p>
        </w:tc>
      </w:tr>
      <w:tr w:rsidR="00446150" w:rsidRPr="00334FAF" w14:paraId="6B0EFDF3" w14:textId="77777777" w:rsidTr="0026365A">
        <w:tc>
          <w:tcPr>
            <w:tcW w:w="2376" w:type="dxa"/>
            <w:tcBorders>
              <w:bottom w:val="single" w:sz="4" w:space="0" w:color="auto"/>
            </w:tcBorders>
            <w:vAlign w:val="center"/>
          </w:tcPr>
          <w:p w14:paraId="72BBC875" w14:textId="77777777" w:rsidR="00446150" w:rsidRPr="00334FAF" w:rsidRDefault="00446150" w:rsidP="0026365A">
            <w:pPr>
              <w:pStyle w:val="VersionControl"/>
            </w:pPr>
            <w:r w:rsidRPr="00334FAF">
              <w:t>Equality analysis undertaken:</w:t>
            </w:r>
          </w:p>
        </w:tc>
        <w:tc>
          <w:tcPr>
            <w:tcW w:w="8306" w:type="dxa"/>
            <w:vAlign w:val="center"/>
          </w:tcPr>
          <w:p w14:paraId="29062039" w14:textId="6E252A32" w:rsidR="00446150" w:rsidRPr="00334FAF" w:rsidRDefault="00BA4DA9" w:rsidP="0026365A">
            <w:pPr>
              <w:pStyle w:val="VersionControl"/>
            </w:pPr>
            <w:r>
              <w:t>Not undertaken</w:t>
            </w:r>
          </w:p>
        </w:tc>
      </w:tr>
    </w:tbl>
    <w:p w14:paraId="39314BEA" w14:textId="77777777" w:rsidR="00446150" w:rsidRDefault="00446150" w:rsidP="00446150"/>
    <w:p w14:paraId="333A1491" w14:textId="77777777" w:rsidR="00446150" w:rsidRPr="00AD4447" w:rsidRDefault="00446150" w:rsidP="00446150">
      <w:pPr>
        <w:rPr>
          <w:sz w:val="16"/>
        </w:rPr>
      </w:pPr>
      <w:r w:rsidRPr="00AD4447">
        <w:rPr>
          <w:sz w:val="16"/>
        </w:rPr>
        <w:t>Amendments since approval:</w:t>
      </w:r>
    </w:p>
    <w:tbl>
      <w:tblPr>
        <w:tblStyle w:val="TableGrid"/>
        <w:tblW w:w="0" w:type="auto"/>
        <w:tblLook w:val="04A0" w:firstRow="1" w:lastRow="0" w:firstColumn="1" w:lastColumn="0" w:noHBand="0" w:noVBand="1"/>
      </w:tblPr>
      <w:tblGrid>
        <w:gridCol w:w="938"/>
        <w:gridCol w:w="5047"/>
        <w:gridCol w:w="1309"/>
        <w:gridCol w:w="2442"/>
      </w:tblGrid>
      <w:tr w:rsidR="00446150" w:rsidRPr="00334FAF" w14:paraId="39FBD579" w14:textId="77777777" w:rsidTr="0026365A">
        <w:tc>
          <w:tcPr>
            <w:tcW w:w="959" w:type="dxa"/>
          </w:tcPr>
          <w:p w14:paraId="5633E03B" w14:textId="77777777" w:rsidR="00446150" w:rsidRPr="00334FAF" w:rsidRDefault="00446150" w:rsidP="0026365A">
            <w:pPr>
              <w:pStyle w:val="VersionControl"/>
            </w:pPr>
            <w:r>
              <w:t>Version:</w:t>
            </w:r>
          </w:p>
        </w:tc>
        <w:tc>
          <w:tcPr>
            <w:tcW w:w="5670" w:type="dxa"/>
          </w:tcPr>
          <w:p w14:paraId="1F2E244F" w14:textId="77777777" w:rsidR="00446150" w:rsidRPr="00334FAF" w:rsidRDefault="00446150" w:rsidP="0026365A">
            <w:pPr>
              <w:pStyle w:val="VersionControl"/>
            </w:pPr>
            <w:r w:rsidRPr="00334FAF">
              <w:t>Detail of revision:</w:t>
            </w:r>
          </w:p>
        </w:tc>
        <w:tc>
          <w:tcPr>
            <w:tcW w:w="1382" w:type="dxa"/>
            <w:vAlign w:val="center"/>
          </w:tcPr>
          <w:p w14:paraId="48339B41" w14:textId="77777777" w:rsidR="00446150" w:rsidRPr="00334FAF" w:rsidRDefault="00446150" w:rsidP="0026365A">
            <w:pPr>
              <w:pStyle w:val="VersionControl"/>
            </w:pPr>
            <w:r w:rsidRPr="00334FAF">
              <w:t>Date of revision:</w:t>
            </w:r>
          </w:p>
        </w:tc>
        <w:tc>
          <w:tcPr>
            <w:tcW w:w="2671" w:type="dxa"/>
            <w:vAlign w:val="center"/>
          </w:tcPr>
          <w:p w14:paraId="7ED7DB0F" w14:textId="77777777" w:rsidR="00446150" w:rsidRPr="00334FAF" w:rsidRDefault="00446150" w:rsidP="0026365A">
            <w:pPr>
              <w:pStyle w:val="VersionControl"/>
            </w:pPr>
            <w:r w:rsidRPr="00334FAF">
              <w:t>Revision approved by:</w:t>
            </w:r>
          </w:p>
        </w:tc>
      </w:tr>
      <w:tr w:rsidR="00446150" w:rsidRPr="00334FAF" w14:paraId="1D5A60D6" w14:textId="77777777" w:rsidTr="0026365A">
        <w:tc>
          <w:tcPr>
            <w:tcW w:w="959" w:type="dxa"/>
            <w:vAlign w:val="center"/>
          </w:tcPr>
          <w:p w14:paraId="0D3942B9" w14:textId="164B3CFE" w:rsidR="00446150" w:rsidRPr="00334FAF" w:rsidRDefault="00D71976" w:rsidP="0026365A">
            <w:pPr>
              <w:pStyle w:val="VersionControl"/>
            </w:pPr>
            <w:r>
              <w:t>3</w:t>
            </w:r>
          </w:p>
        </w:tc>
        <w:tc>
          <w:tcPr>
            <w:tcW w:w="5670" w:type="dxa"/>
            <w:vAlign w:val="center"/>
          </w:tcPr>
          <w:p w14:paraId="68C17CC9" w14:textId="6F0BDFE0" w:rsidR="00446150" w:rsidRPr="00334FAF" w:rsidRDefault="00D71976" w:rsidP="0026365A">
            <w:pPr>
              <w:pStyle w:val="VersionControl"/>
            </w:pPr>
            <w:r>
              <w:t>Change from Registry to PGR School</w:t>
            </w:r>
          </w:p>
        </w:tc>
        <w:tc>
          <w:tcPr>
            <w:tcW w:w="1382" w:type="dxa"/>
            <w:vAlign w:val="center"/>
          </w:tcPr>
          <w:p w14:paraId="61DD1318" w14:textId="41E0119C" w:rsidR="00446150" w:rsidRPr="00334FAF" w:rsidRDefault="00D71976" w:rsidP="0026365A">
            <w:pPr>
              <w:pStyle w:val="VersionControl"/>
            </w:pPr>
            <w:r>
              <w:t>Sept 2024</w:t>
            </w:r>
          </w:p>
        </w:tc>
        <w:tc>
          <w:tcPr>
            <w:tcW w:w="2671" w:type="dxa"/>
            <w:vAlign w:val="center"/>
          </w:tcPr>
          <w:p w14:paraId="79326505" w14:textId="19FA5FCD" w:rsidR="00446150" w:rsidRPr="00334FAF" w:rsidRDefault="00D71976" w:rsidP="0026365A">
            <w:pPr>
              <w:pStyle w:val="VersionControl"/>
            </w:pPr>
            <w:r>
              <w:t>N/A</w:t>
            </w:r>
          </w:p>
        </w:tc>
      </w:tr>
    </w:tbl>
    <w:p w14:paraId="015A2F49" w14:textId="6CE49844" w:rsidR="00446150" w:rsidRDefault="00446150" w:rsidP="00BA4DA9"/>
    <w:sectPr w:rsidR="00446150" w:rsidSect="009D29DA">
      <w:headerReference w:type="default" r:id="rId13"/>
      <w:footerReference w:type="default" r:id="rId14"/>
      <w:footerReference w:type="first" r:id="rId15"/>
      <w:pgSz w:w="11906" w:h="16838"/>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A9748" w14:textId="77777777" w:rsidR="008E2BFA" w:rsidRDefault="008E2BFA" w:rsidP="00A06FE6">
      <w:r>
        <w:separator/>
      </w:r>
    </w:p>
  </w:endnote>
  <w:endnote w:type="continuationSeparator" w:id="0">
    <w:p w14:paraId="16832758" w14:textId="77777777" w:rsidR="008E2BFA" w:rsidRDefault="008E2BFA" w:rsidP="00A0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47614"/>
      <w:docPartObj>
        <w:docPartGallery w:val="Page Numbers (Bottom of Page)"/>
        <w:docPartUnique/>
      </w:docPartObj>
    </w:sdtPr>
    <w:sdtContent>
      <w:sdt>
        <w:sdtPr>
          <w:id w:val="-1769616900"/>
          <w:docPartObj>
            <w:docPartGallery w:val="Page Numbers (Top of Page)"/>
            <w:docPartUnique/>
          </w:docPartObj>
        </w:sdtPr>
        <w:sdtContent>
          <w:p w14:paraId="5C792F8F" w14:textId="77777777" w:rsidR="001E3352" w:rsidRPr="00DA57A5" w:rsidRDefault="001E3352" w:rsidP="00752804">
            <w:pPr>
              <w:pStyle w:val="Footer"/>
              <w:ind w:right="248"/>
              <w:jc w:val="right"/>
              <w:rPr>
                <w:color w:val="A6A6A6" w:themeColor="background1" w:themeShade="A6"/>
              </w:rPr>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sdtContent>
      </w:sdt>
    </w:sdtContent>
  </w:sdt>
  <w:p w14:paraId="302262A8" w14:textId="77777777" w:rsidR="001E3352" w:rsidRDefault="001E3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862229"/>
      <w:docPartObj>
        <w:docPartGallery w:val="Page Numbers (Bottom of Page)"/>
        <w:docPartUnique/>
      </w:docPartObj>
    </w:sdtPr>
    <w:sdtContent>
      <w:sdt>
        <w:sdtPr>
          <w:id w:val="788315914"/>
          <w:docPartObj>
            <w:docPartGallery w:val="Page Numbers (Top of Page)"/>
            <w:docPartUnique/>
          </w:docPartObj>
        </w:sdtPr>
        <w:sdtContent>
          <w:p w14:paraId="5913CB30" w14:textId="7C20B256" w:rsidR="001E3352" w:rsidRDefault="009A4309" w:rsidP="009A4309">
            <w:pPr>
              <w:pStyle w:val="Footer"/>
              <w:ind w:right="248"/>
            </w:pPr>
            <w:r w:rsidRPr="009A4309">
              <w:rPr>
                <w:sz w:val="18"/>
                <w:szCs w:val="18"/>
              </w:rPr>
              <w:t>Recording of oral examinations: Policy and Guidelines</w:t>
            </w:r>
            <w:r>
              <w:tab/>
            </w:r>
            <w:r>
              <w:tab/>
            </w:r>
            <w:r w:rsidR="001E3352" w:rsidRPr="00117A11">
              <w:t xml:space="preserve">Page </w:t>
            </w:r>
            <w:r w:rsidR="001E3352" w:rsidRPr="00117A11">
              <w:rPr>
                <w:bCs/>
                <w:sz w:val="24"/>
                <w:szCs w:val="24"/>
              </w:rPr>
              <w:fldChar w:fldCharType="begin"/>
            </w:r>
            <w:r w:rsidR="001E3352" w:rsidRPr="00117A11">
              <w:rPr>
                <w:bCs/>
              </w:rPr>
              <w:instrText xml:space="preserve"> PAGE </w:instrText>
            </w:r>
            <w:r w:rsidR="001E3352" w:rsidRPr="00117A11">
              <w:rPr>
                <w:bCs/>
                <w:sz w:val="24"/>
                <w:szCs w:val="24"/>
              </w:rPr>
              <w:fldChar w:fldCharType="separate"/>
            </w:r>
            <w:r w:rsidR="001E3352" w:rsidRPr="00117A11">
              <w:rPr>
                <w:bCs/>
                <w:noProof/>
              </w:rPr>
              <w:t>2</w:t>
            </w:r>
            <w:r w:rsidR="001E3352" w:rsidRPr="00117A11">
              <w:rPr>
                <w:bCs/>
                <w:sz w:val="24"/>
                <w:szCs w:val="24"/>
              </w:rPr>
              <w:fldChar w:fldCharType="end"/>
            </w:r>
            <w:r w:rsidR="001E3352" w:rsidRPr="00117A11">
              <w:t xml:space="preserve"> of </w:t>
            </w:r>
            <w:r w:rsidR="001E3352" w:rsidRPr="00117A11">
              <w:rPr>
                <w:bCs/>
                <w:sz w:val="24"/>
                <w:szCs w:val="24"/>
              </w:rPr>
              <w:fldChar w:fldCharType="begin"/>
            </w:r>
            <w:r w:rsidR="001E3352" w:rsidRPr="00117A11">
              <w:rPr>
                <w:bCs/>
              </w:rPr>
              <w:instrText xml:space="preserve"> NUMPAGES  </w:instrText>
            </w:r>
            <w:r w:rsidR="001E3352" w:rsidRPr="00117A11">
              <w:rPr>
                <w:bCs/>
                <w:sz w:val="24"/>
                <w:szCs w:val="24"/>
              </w:rPr>
              <w:fldChar w:fldCharType="separate"/>
            </w:r>
            <w:r w:rsidR="001E3352" w:rsidRPr="00117A11">
              <w:rPr>
                <w:bCs/>
                <w:noProof/>
              </w:rPr>
              <w:t>2</w:t>
            </w:r>
            <w:r w:rsidR="001E3352" w:rsidRPr="00117A11">
              <w:rPr>
                <w:bCs/>
                <w:sz w:val="24"/>
                <w:szCs w:val="24"/>
              </w:rPr>
              <w:fldChar w:fldCharType="end"/>
            </w:r>
          </w:p>
        </w:sdtContent>
      </w:sdt>
    </w:sdtContent>
  </w:sdt>
  <w:p w14:paraId="6766D630" w14:textId="77777777" w:rsidR="001E3352" w:rsidRDefault="001E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860EC" w14:textId="77777777" w:rsidR="008E2BFA" w:rsidRDefault="008E2BFA" w:rsidP="00A06FE6">
      <w:r>
        <w:separator/>
      </w:r>
    </w:p>
  </w:footnote>
  <w:footnote w:type="continuationSeparator" w:id="0">
    <w:p w14:paraId="712AC110" w14:textId="77777777" w:rsidR="008E2BFA" w:rsidRDefault="008E2BFA" w:rsidP="00A0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9250" w14:textId="44C9C93D" w:rsidR="00446150" w:rsidRPr="00A06FE6" w:rsidRDefault="00446150" w:rsidP="00446150">
    <w:pPr>
      <w:jc w:val="right"/>
      <w:rPr>
        <w:color w:val="A6A6A6" w:themeColor="background1" w:themeShade="A6"/>
      </w:rPr>
    </w:pPr>
  </w:p>
  <w:p w14:paraId="3DABE4CC" w14:textId="77777777" w:rsidR="001E3352" w:rsidRPr="00446150" w:rsidRDefault="001E3352" w:rsidP="00446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168C"/>
    <w:multiLevelType w:val="hybridMultilevel"/>
    <w:tmpl w:val="B678B8B6"/>
    <w:lvl w:ilvl="0" w:tplc="18D29756">
      <w:start w:val="1"/>
      <w:numFmt w:val="decimal"/>
      <w:pStyle w:val="Ctterepparaheading"/>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53537"/>
    <w:multiLevelType w:val="hybridMultilevel"/>
    <w:tmpl w:val="C0144994"/>
    <w:lvl w:ilvl="0" w:tplc="774E8EE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904239"/>
    <w:multiLevelType w:val="hybridMultilevel"/>
    <w:tmpl w:val="CEB23440"/>
    <w:lvl w:ilvl="0" w:tplc="ECCCF2F2">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EC11A2"/>
    <w:multiLevelType w:val="hybridMultilevel"/>
    <w:tmpl w:val="FD9ABA4A"/>
    <w:lvl w:ilvl="0" w:tplc="0809000F">
      <w:start w:val="1"/>
      <w:numFmt w:val="decimal"/>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30A30D7C"/>
    <w:multiLevelType w:val="hybridMultilevel"/>
    <w:tmpl w:val="E55A5CA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6B029DDC">
      <w:start w:val="1"/>
      <w:numFmt w:val="lowerLetter"/>
      <w:lvlText w:val="(%3)"/>
      <w:lvlJc w:val="left"/>
      <w:pPr>
        <w:ind w:left="3240" w:hanging="18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1745994"/>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0B04E8"/>
    <w:multiLevelType w:val="hybridMultilevel"/>
    <w:tmpl w:val="E29618C0"/>
    <w:lvl w:ilvl="0" w:tplc="774E8EE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245B65"/>
    <w:multiLevelType w:val="hybridMultilevel"/>
    <w:tmpl w:val="03260B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0F12E6"/>
    <w:multiLevelType w:val="hybridMultilevel"/>
    <w:tmpl w:val="853CAD02"/>
    <w:lvl w:ilvl="0" w:tplc="774E8E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6116BD"/>
    <w:multiLevelType w:val="hybridMultilevel"/>
    <w:tmpl w:val="2CE8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75D68"/>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E27163"/>
    <w:multiLevelType w:val="hybridMultilevel"/>
    <w:tmpl w:val="BFC80A86"/>
    <w:lvl w:ilvl="0" w:tplc="36E65F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56C755E"/>
    <w:multiLevelType w:val="hybridMultilevel"/>
    <w:tmpl w:val="C4380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4741A0"/>
    <w:multiLevelType w:val="multilevel"/>
    <w:tmpl w:val="0D3C009A"/>
    <w:styleLink w:val="RegulationStyl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588" w:hanging="45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2258032">
    <w:abstractNumId w:val="1"/>
  </w:num>
  <w:num w:numId="2" w16cid:durableId="1741295004">
    <w:abstractNumId w:val="8"/>
  </w:num>
  <w:num w:numId="3" w16cid:durableId="1359429984">
    <w:abstractNumId w:val="7"/>
  </w:num>
  <w:num w:numId="4" w16cid:durableId="1010719513">
    <w:abstractNumId w:val="12"/>
  </w:num>
  <w:num w:numId="5" w16cid:durableId="1590119350">
    <w:abstractNumId w:val="5"/>
  </w:num>
  <w:num w:numId="6" w16cid:durableId="916598108">
    <w:abstractNumId w:val="10"/>
  </w:num>
  <w:num w:numId="7" w16cid:durableId="2019773625">
    <w:abstractNumId w:val="11"/>
  </w:num>
  <w:num w:numId="8" w16cid:durableId="1890457899">
    <w:abstractNumId w:val="6"/>
  </w:num>
  <w:num w:numId="9" w16cid:durableId="567766188">
    <w:abstractNumId w:val="2"/>
  </w:num>
  <w:num w:numId="10" w16cid:durableId="2000960199">
    <w:abstractNumId w:val="13"/>
  </w:num>
  <w:num w:numId="11" w16cid:durableId="60904840">
    <w:abstractNumId w:val="9"/>
  </w:num>
  <w:num w:numId="12" w16cid:durableId="556091285">
    <w:abstractNumId w:val="4"/>
  </w:num>
  <w:num w:numId="13" w16cid:durableId="1210075563">
    <w:abstractNumId w:val="0"/>
  </w:num>
  <w:num w:numId="14" w16cid:durableId="690188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36"/>
    <w:rsid w:val="00012BCF"/>
    <w:rsid w:val="00064F8C"/>
    <w:rsid w:val="000938EA"/>
    <w:rsid w:val="000A4D5A"/>
    <w:rsid w:val="000B23B8"/>
    <w:rsid w:val="000C6D15"/>
    <w:rsid w:val="000F6755"/>
    <w:rsid w:val="00117A11"/>
    <w:rsid w:val="00193FE7"/>
    <w:rsid w:val="001E3352"/>
    <w:rsid w:val="00206BA3"/>
    <w:rsid w:val="00212BA4"/>
    <w:rsid w:val="00222840"/>
    <w:rsid w:val="002261D9"/>
    <w:rsid w:val="00234B02"/>
    <w:rsid w:val="00257753"/>
    <w:rsid w:val="002579D9"/>
    <w:rsid w:val="002613F8"/>
    <w:rsid w:val="002A68A0"/>
    <w:rsid w:val="002C03FF"/>
    <w:rsid w:val="002C2675"/>
    <w:rsid w:val="002D168A"/>
    <w:rsid w:val="00336C96"/>
    <w:rsid w:val="00446150"/>
    <w:rsid w:val="0045284D"/>
    <w:rsid w:val="00471640"/>
    <w:rsid w:val="00476797"/>
    <w:rsid w:val="004E4CC2"/>
    <w:rsid w:val="00503230"/>
    <w:rsid w:val="00517A2D"/>
    <w:rsid w:val="00557B34"/>
    <w:rsid w:val="00574273"/>
    <w:rsid w:val="00586CC7"/>
    <w:rsid w:val="005C64CD"/>
    <w:rsid w:val="005D0865"/>
    <w:rsid w:val="0061195E"/>
    <w:rsid w:val="00661085"/>
    <w:rsid w:val="006A1E43"/>
    <w:rsid w:val="006C27B7"/>
    <w:rsid w:val="006E21FE"/>
    <w:rsid w:val="00717446"/>
    <w:rsid w:val="00752804"/>
    <w:rsid w:val="00771C0C"/>
    <w:rsid w:val="007F2C85"/>
    <w:rsid w:val="007F6214"/>
    <w:rsid w:val="00805491"/>
    <w:rsid w:val="00816861"/>
    <w:rsid w:val="00834AE4"/>
    <w:rsid w:val="00852E57"/>
    <w:rsid w:val="008908A5"/>
    <w:rsid w:val="008E2BFA"/>
    <w:rsid w:val="009A4309"/>
    <w:rsid w:val="009D29DA"/>
    <w:rsid w:val="009E78BA"/>
    <w:rsid w:val="009F103D"/>
    <w:rsid w:val="00A06FE6"/>
    <w:rsid w:val="00A465E8"/>
    <w:rsid w:val="00A61E5D"/>
    <w:rsid w:val="00AA7531"/>
    <w:rsid w:val="00AD1446"/>
    <w:rsid w:val="00AE743C"/>
    <w:rsid w:val="00B05E2A"/>
    <w:rsid w:val="00B17716"/>
    <w:rsid w:val="00B447F0"/>
    <w:rsid w:val="00BA4DA9"/>
    <w:rsid w:val="00BC7792"/>
    <w:rsid w:val="00BE4BB7"/>
    <w:rsid w:val="00C12AAE"/>
    <w:rsid w:val="00C151C3"/>
    <w:rsid w:val="00C3776E"/>
    <w:rsid w:val="00C61553"/>
    <w:rsid w:val="00CA71B9"/>
    <w:rsid w:val="00CD2B77"/>
    <w:rsid w:val="00CD4D84"/>
    <w:rsid w:val="00D316F5"/>
    <w:rsid w:val="00D514DF"/>
    <w:rsid w:val="00D67671"/>
    <w:rsid w:val="00D70F0B"/>
    <w:rsid w:val="00D71976"/>
    <w:rsid w:val="00D92D64"/>
    <w:rsid w:val="00DA57A5"/>
    <w:rsid w:val="00DA6CAC"/>
    <w:rsid w:val="00DE54BC"/>
    <w:rsid w:val="00DE64E6"/>
    <w:rsid w:val="00E5065D"/>
    <w:rsid w:val="00E547C9"/>
    <w:rsid w:val="00E75D1F"/>
    <w:rsid w:val="00E83004"/>
    <w:rsid w:val="00E95CB2"/>
    <w:rsid w:val="00EB1587"/>
    <w:rsid w:val="00EB3594"/>
    <w:rsid w:val="00EB39A9"/>
    <w:rsid w:val="00ED73E4"/>
    <w:rsid w:val="00EF6BF7"/>
    <w:rsid w:val="00F52A51"/>
    <w:rsid w:val="00F55936"/>
    <w:rsid w:val="00FB6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0E21D"/>
  <w15:chartTrackingRefBased/>
  <w15:docId w15:val="{EE5A0608-4589-4197-8E31-556D5AEE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6"/>
    <w:pPr>
      <w:tabs>
        <w:tab w:val="center" w:pos="4513"/>
        <w:tab w:val="right" w:pos="9026"/>
      </w:tabs>
      <w:spacing w:after="0" w:line="240" w:lineRule="auto"/>
    </w:pPr>
    <w:rPr>
      <w:rFonts w:ascii="Arial" w:hAnsi="Arial" w:cs="Arial"/>
    </w:rPr>
  </w:style>
  <w:style w:type="paragraph" w:styleId="Heading1">
    <w:name w:val="heading 1"/>
    <w:basedOn w:val="Normal"/>
    <w:next w:val="Normal"/>
    <w:link w:val="Heading1Char"/>
    <w:uiPriority w:val="2"/>
    <w:qFormat/>
    <w:rsid w:val="00A06FE6"/>
    <w:pPr>
      <w:outlineLvl w:val="0"/>
    </w:pPr>
    <w:rPr>
      <w:b/>
      <w:sz w:val="36"/>
      <w:szCs w:val="36"/>
    </w:rPr>
  </w:style>
  <w:style w:type="paragraph" w:styleId="Heading2">
    <w:name w:val="heading 2"/>
    <w:basedOn w:val="Normal"/>
    <w:next w:val="Normal"/>
    <w:link w:val="Heading2Char"/>
    <w:uiPriority w:val="9"/>
    <w:semiHidden/>
    <w:unhideWhenUsed/>
    <w:qFormat/>
    <w:rsid w:val="004461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40"/>
    <w:rPr>
      <w:rFonts w:ascii="Segoe UI" w:hAnsi="Segoe UI" w:cs="Segoe UI"/>
      <w:sz w:val="18"/>
      <w:szCs w:val="18"/>
    </w:rPr>
  </w:style>
  <w:style w:type="paragraph" w:styleId="Header">
    <w:name w:val="header"/>
    <w:basedOn w:val="Normal"/>
    <w:link w:val="HeaderChar"/>
    <w:uiPriority w:val="99"/>
    <w:unhideWhenUsed/>
    <w:rsid w:val="00222840"/>
  </w:style>
  <w:style w:type="character" w:customStyle="1" w:styleId="HeaderChar">
    <w:name w:val="Header Char"/>
    <w:basedOn w:val="DefaultParagraphFont"/>
    <w:link w:val="Header"/>
    <w:uiPriority w:val="99"/>
    <w:rsid w:val="00222840"/>
  </w:style>
  <w:style w:type="paragraph" w:styleId="Footer">
    <w:name w:val="footer"/>
    <w:basedOn w:val="Normal"/>
    <w:link w:val="FooterChar"/>
    <w:uiPriority w:val="99"/>
    <w:unhideWhenUsed/>
    <w:rsid w:val="00222840"/>
  </w:style>
  <w:style w:type="character" w:customStyle="1" w:styleId="FooterChar">
    <w:name w:val="Footer Char"/>
    <w:basedOn w:val="DefaultParagraphFont"/>
    <w:link w:val="Footer"/>
    <w:uiPriority w:val="99"/>
    <w:rsid w:val="00222840"/>
  </w:style>
  <w:style w:type="table" w:styleId="TableGrid">
    <w:name w:val="Table Grid"/>
    <w:basedOn w:val="TableNormal"/>
    <w:uiPriority w:val="59"/>
    <w:rsid w:val="0022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7B7"/>
    <w:rPr>
      <w:color w:val="0563C1" w:themeColor="hyperlink"/>
      <w:u w:val="single"/>
    </w:rPr>
  </w:style>
  <w:style w:type="character" w:styleId="UnresolvedMention">
    <w:name w:val="Unresolved Mention"/>
    <w:basedOn w:val="DefaultParagraphFont"/>
    <w:uiPriority w:val="99"/>
    <w:semiHidden/>
    <w:unhideWhenUsed/>
    <w:rsid w:val="006C27B7"/>
    <w:rPr>
      <w:color w:val="605E5C"/>
      <w:shd w:val="clear" w:color="auto" w:fill="E1DFDD"/>
    </w:rPr>
  </w:style>
  <w:style w:type="paragraph" w:styleId="ListParagraph">
    <w:name w:val="List Paragraph"/>
    <w:basedOn w:val="Normal"/>
    <w:uiPriority w:val="3"/>
    <w:qFormat/>
    <w:rsid w:val="00771C0C"/>
    <w:pPr>
      <w:ind w:left="720"/>
      <w:contextualSpacing/>
    </w:pPr>
  </w:style>
  <w:style w:type="character" w:customStyle="1" w:styleId="Heading1Char">
    <w:name w:val="Heading 1 Char"/>
    <w:basedOn w:val="DefaultParagraphFont"/>
    <w:link w:val="Heading1"/>
    <w:uiPriority w:val="9"/>
    <w:rsid w:val="00A06FE6"/>
    <w:rPr>
      <w:rFonts w:ascii="Arial" w:hAnsi="Arial" w:cs="Arial"/>
      <w:b/>
      <w:sz w:val="36"/>
      <w:szCs w:val="36"/>
    </w:rPr>
  </w:style>
  <w:style w:type="character" w:styleId="Strong">
    <w:name w:val="Strong"/>
    <w:uiPriority w:val="22"/>
    <w:qFormat/>
    <w:rsid w:val="00A06FE6"/>
    <w:rPr>
      <w:b/>
    </w:rPr>
  </w:style>
  <w:style w:type="paragraph" w:styleId="FootnoteText">
    <w:name w:val="footnote text"/>
    <w:basedOn w:val="Normal"/>
    <w:link w:val="FootnoteTextChar"/>
    <w:uiPriority w:val="99"/>
    <w:semiHidden/>
    <w:unhideWhenUsed/>
    <w:rsid w:val="00E75D1F"/>
    <w:rPr>
      <w:sz w:val="20"/>
      <w:szCs w:val="20"/>
    </w:rPr>
  </w:style>
  <w:style w:type="character" w:customStyle="1" w:styleId="FootnoteTextChar">
    <w:name w:val="Footnote Text Char"/>
    <w:basedOn w:val="DefaultParagraphFont"/>
    <w:link w:val="FootnoteText"/>
    <w:uiPriority w:val="99"/>
    <w:semiHidden/>
    <w:rsid w:val="00E75D1F"/>
    <w:rPr>
      <w:rFonts w:ascii="Arial" w:hAnsi="Arial" w:cs="Arial"/>
      <w:sz w:val="20"/>
      <w:szCs w:val="20"/>
    </w:rPr>
  </w:style>
  <w:style w:type="character" w:styleId="FootnoteReference">
    <w:name w:val="footnote reference"/>
    <w:basedOn w:val="DefaultParagraphFont"/>
    <w:uiPriority w:val="99"/>
    <w:semiHidden/>
    <w:unhideWhenUsed/>
    <w:rsid w:val="00E75D1F"/>
    <w:rPr>
      <w:vertAlign w:val="superscript"/>
    </w:rPr>
  </w:style>
  <w:style w:type="character" w:customStyle="1" w:styleId="Heading2Char">
    <w:name w:val="Heading 2 Char"/>
    <w:basedOn w:val="DefaultParagraphFont"/>
    <w:link w:val="Heading2"/>
    <w:uiPriority w:val="9"/>
    <w:semiHidden/>
    <w:rsid w:val="00446150"/>
    <w:rPr>
      <w:rFonts w:asciiTheme="majorHAnsi" w:eastAsiaTheme="majorEastAsia" w:hAnsiTheme="majorHAnsi" w:cstheme="majorBidi"/>
      <w:color w:val="2F5496" w:themeColor="accent1" w:themeShade="BF"/>
      <w:sz w:val="26"/>
      <w:szCs w:val="26"/>
    </w:rPr>
  </w:style>
  <w:style w:type="numbering" w:customStyle="1" w:styleId="RegulationStyle">
    <w:name w:val="Regulation Style"/>
    <w:uiPriority w:val="99"/>
    <w:rsid w:val="00446150"/>
    <w:pPr>
      <w:numPr>
        <w:numId w:val="10"/>
      </w:numPr>
    </w:pPr>
  </w:style>
  <w:style w:type="paragraph" w:styleId="Title">
    <w:name w:val="Title"/>
    <w:basedOn w:val="Normal"/>
    <w:next w:val="Normal"/>
    <w:link w:val="TitleChar"/>
    <w:qFormat/>
    <w:rsid w:val="00446150"/>
    <w:pPr>
      <w:pBdr>
        <w:left w:val="single" w:sz="4" w:space="4" w:color="auto"/>
      </w:pBdr>
      <w:tabs>
        <w:tab w:val="clear" w:pos="4513"/>
        <w:tab w:val="clear" w:pos="9026"/>
      </w:tabs>
      <w:spacing w:before="40"/>
      <w:ind w:left="142"/>
      <w:outlineLvl w:val="0"/>
    </w:pPr>
    <w:rPr>
      <w:rFonts w:eastAsiaTheme="majorEastAsia" w:cstheme="majorBidi"/>
      <w:b/>
      <w:bCs/>
      <w:sz w:val="28"/>
      <w:szCs w:val="28"/>
    </w:rPr>
  </w:style>
  <w:style w:type="character" w:customStyle="1" w:styleId="TitleChar">
    <w:name w:val="Title Char"/>
    <w:basedOn w:val="DefaultParagraphFont"/>
    <w:link w:val="Title"/>
    <w:rsid w:val="00446150"/>
    <w:rPr>
      <w:rFonts w:ascii="Arial" w:eastAsiaTheme="majorEastAsia" w:hAnsi="Arial" w:cstheme="majorBidi"/>
      <w:b/>
      <w:bCs/>
      <w:sz w:val="28"/>
      <w:szCs w:val="28"/>
    </w:rPr>
  </w:style>
  <w:style w:type="paragraph" w:customStyle="1" w:styleId="VersionControl">
    <w:name w:val="Version Control"/>
    <w:basedOn w:val="Normal"/>
    <w:link w:val="VersionControlChar"/>
    <w:uiPriority w:val="5"/>
    <w:qFormat/>
    <w:rsid w:val="00446150"/>
    <w:pPr>
      <w:tabs>
        <w:tab w:val="clear" w:pos="4513"/>
        <w:tab w:val="clear" w:pos="9026"/>
      </w:tabs>
      <w:spacing w:before="20" w:after="20"/>
      <w:outlineLvl w:val="0"/>
    </w:pPr>
    <w:rPr>
      <w:rFonts w:eastAsiaTheme="majorEastAsia" w:cstheme="majorBidi"/>
      <w:bCs/>
      <w:sz w:val="16"/>
      <w:szCs w:val="20"/>
      <w:lang w:eastAsia="en-GB"/>
    </w:rPr>
  </w:style>
  <w:style w:type="character" w:customStyle="1" w:styleId="VersionControlChar">
    <w:name w:val="Version Control Char"/>
    <w:basedOn w:val="DefaultParagraphFont"/>
    <w:link w:val="VersionControl"/>
    <w:uiPriority w:val="5"/>
    <w:rsid w:val="00446150"/>
    <w:rPr>
      <w:rFonts w:ascii="Arial" w:eastAsiaTheme="majorEastAsia" w:hAnsi="Arial" w:cstheme="majorBidi"/>
      <w:bCs/>
      <w:sz w:val="16"/>
      <w:szCs w:val="20"/>
      <w:lang w:eastAsia="en-GB"/>
    </w:rPr>
  </w:style>
  <w:style w:type="paragraph" w:styleId="Subtitle">
    <w:name w:val="Subtitle"/>
    <w:basedOn w:val="Normal"/>
    <w:next w:val="Normal"/>
    <w:link w:val="SubtitleChar"/>
    <w:uiPriority w:val="1"/>
    <w:qFormat/>
    <w:rsid w:val="00446150"/>
    <w:pPr>
      <w:tabs>
        <w:tab w:val="clear" w:pos="4513"/>
        <w:tab w:val="clear" w:pos="9026"/>
      </w:tabs>
      <w:spacing w:before="40" w:after="40"/>
      <w:ind w:firstLine="454"/>
      <w:outlineLvl w:val="0"/>
    </w:pPr>
    <w:rPr>
      <w:rFonts w:eastAsiaTheme="majorEastAsia" w:cstheme="majorBidi"/>
      <w:b/>
      <w:bCs/>
      <w:sz w:val="20"/>
      <w:szCs w:val="20"/>
    </w:rPr>
  </w:style>
  <w:style w:type="character" w:customStyle="1" w:styleId="SubtitleChar">
    <w:name w:val="Subtitle Char"/>
    <w:basedOn w:val="DefaultParagraphFont"/>
    <w:link w:val="Subtitle"/>
    <w:uiPriority w:val="1"/>
    <w:rsid w:val="00446150"/>
    <w:rPr>
      <w:rFonts w:ascii="Arial" w:eastAsiaTheme="majorEastAsia" w:hAnsi="Arial" w:cstheme="majorBidi"/>
      <w:b/>
      <w:bCs/>
      <w:sz w:val="20"/>
      <w:szCs w:val="20"/>
    </w:rPr>
  </w:style>
  <w:style w:type="character" w:styleId="Emphasis">
    <w:name w:val="Emphasis"/>
    <w:basedOn w:val="DefaultParagraphFont"/>
    <w:uiPriority w:val="6"/>
    <w:qFormat/>
    <w:rsid w:val="00446150"/>
    <w:rPr>
      <w:rFonts w:ascii="Arial" w:hAnsi="Arial"/>
      <w:b/>
      <w:iCs/>
      <w:sz w:val="20"/>
    </w:rPr>
  </w:style>
  <w:style w:type="paragraph" w:styleId="Revision">
    <w:name w:val="Revision"/>
    <w:hidden/>
    <w:uiPriority w:val="99"/>
    <w:semiHidden/>
    <w:rsid w:val="0061195E"/>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61195E"/>
    <w:rPr>
      <w:sz w:val="16"/>
      <w:szCs w:val="16"/>
    </w:rPr>
  </w:style>
  <w:style w:type="paragraph" w:styleId="CommentText">
    <w:name w:val="annotation text"/>
    <w:basedOn w:val="Normal"/>
    <w:link w:val="CommentTextChar"/>
    <w:uiPriority w:val="99"/>
    <w:semiHidden/>
    <w:unhideWhenUsed/>
    <w:rsid w:val="0061195E"/>
    <w:rPr>
      <w:sz w:val="20"/>
      <w:szCs w:val="20"/>
    </w:rPr>
  </w:style>
  <w:style w:type="character" w:customStyle="1" w:styleId="CommentTextChar">
    <w:name w:val="Comment Text Char"/>
    <w:basedOn w:val="DefaultParagraphFont"/>
    <w:link w:val="CommentText"/>
    <w:uiPriority w:val="99"/>
    <w:semiHidden/>
    <w:rsid w:val="0061195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1195E"/>
    <w:rPr>
      <w:b/>
      <w:bCs/>
    </w:rPr>
  </w:style>
  <w:style w:type="character" w:customStyle="1" w:styleId="CommentSubjectChar">
    <w:name w:val="Comment Subject Char"/>
    <w:basedOn w:val="CommentTextChar"/>
    <w:link w:val="CommentSubject"/>
    <w:uiPriority w:val="99"/>
    <w:semiHidden/>
    <w:rsid w:val="0061195E"/>
    <w:rPr>
      <w:rFonts w:ascii="Arial" w:hAnsi="Arial" w:cs="Arial"/>
      <w:b/>
      <w:bCs/>
      <w:sz w:val="20"/>
      <w:szCs w:val="20"/>
    </w:rPr>
  </w:style>
  <w:style w:type="paragraph" w:customStyle="1" w:styleId="Default">
    <w:name w:val="Default"/>
    <w:rsid w:val="006A1E43"/>
    <w:pPr>
      <w:autoSpaceDE w:val="0"/>
      <w:autoSpaceDN w:val="0"/>
      <w:adjustRightInd w:val="0"/>
      <w:spacing w:after="0" w:line="240" w:lineRule="auto"/>
    </w:pPr>
    <w:rPr>
      <w:rFonts w:ascii="Arial" w:hAnsi="Arial" w:cs="Arial"/>
      <w:color w:val="000000"/>
      <w:sz w:val="24"/>
      <w:szCs w:val="24"/>
    </w:rPr>
  </w:style>
  <w:style w:type="paragraph" w:customStyle="1" w:styleId="Ctterepparaheading">
    <w:name w:val="Ctte rep para heading"/>
    <w:basedOn w:val="ListParagraph"/>
    <w:qFormat/>
    <w:rsid w:val="006A1E43"/>
    <w:pPr>
      <w:numPr>
        <w:numId w:val="13"/>
      </w:numPr>
      <w:tabs>
        <w:tab w:val="clear" w:pos="4513"/>
        <w:tab w:val="clear" w:pos="9026"/>
      </w:tabs>
      <w:suppressAutoHyphens/>
      <w:spacing w:after="240"/>
      <w:jc w:val="both"/>
    </w:pPr>
    <w:rPr>
      <w:rFonts w:eastAsia="Times New Roman"/>
      <w:b/>
      <w:lang w:eastAsia="ar-SA"/>
    </w:rPr>
  </w:style>
  <w:style w:type="paragraph" w:styleId="NoSpacing">
    <w:name w:val="No Spacing"/>
    <w:uiPriority w:val="1"/>
    <w:qFormat/>
    <w:rsid w:val="00805491"/>
    <w:pPr>
      <w:spacing w:after="0" w:line="240" w:lineRule="auto"/>
    </w:pPr>
    <w:rPr>
      <w:rFonts w:ascii="Arial" w:eastAsia="Calibri" w:hAnsi="Arial" w:cs="Arial"/>
      <w:sz w:val="24"/>
      <w:szCs w:val="24"/>
    </w:rPr>
  </w:style>
  <w:style w:type="character" w:styleId="FollowedHyperlink">
    <w:name w:val="FollowedHyperlink"/>
    <w:basedOn w:val="DefaultParagraphFont"/>
    <w:uiPriority w:val="99"/>
    <w:semiHidden/>
    <w:unhideWhenUsed/>
    <w:rsid w:val="00A61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rksj.ac.uk/media/content-assets/registry/research-degrees/thesis-submission-and-examination/Instructions-to-examiners-for-research-degree-examinations-(MPhil,-PhD,-Prof-Doc).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sj.ac.uk/media/content-assets/registry/research-degrees/thesis-submission-and-examination/Instructions-to-examiners-for-research-degree-examinations-(MbR-post-Oct-2021-entry).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rksj.ac.uk/media/content-assets/registry/research-degrees/thesis-submission-and-examination/Guide-to-the-examination-process-for-research-degrees.docx" TargetMode="External"/><Relationship Id="rId4" Type="http://schemas.openxmlformats.org/officeDocument/2006/relationships/settings" Target="settings.xml"/><Relationship Id="rId9" Type="http://schemas.openxmlformats.org/officeDocument/2006/relationships/hyperlink" Target="https://www.yorksj.ac.uk/policies-and-documents/appeals-and-complai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3C55-5B68-445E-8226-339F1363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Graham (j.graham)</dc:creator>
  <cp:keywords/>
  <dc:description/>
  <cp:lastModifiedBy>Carl Shepherd</cp:lastModifiedBy>
  <cp:revision>2</cp:revision>
  <cp:lastPrinted>2021-11-24T17:40:00Z</cp:lastPrinted>
  <dcterms:created xsi:type="dcterms:W3CDTF">2024-09-27T10:54:00Z</dcterms:created>
  <dcterms:modified xsi:type="dcterms:W3CDTF">2024-09-27T10:54:00Z</dcterms:modified>
</cp:coreProperties>
</file>